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Licensing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Backus has talked with her people and we are good to go ahead using just an academic license. Commercial licensing can be handled in the future.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Frequency During Recording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Lillian asked what the frequency of the AC excitation signal is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Backus says its 1000 Hz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Outside Information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 / Mehrezat asked about how important information from outside of the waveforms is when annotating.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Cooper, Dr. Backus: Outside information is used. In particular, notes are made when gain levels are changed in the Windaq file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be hard to decide when a jump means a state transition without knowing when these gain level are changed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Slope of a gain change is fairly gradual in comparison to behavioral shift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Shifts in gain should be able to be found in the Windaq files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interface with the Engineering team on making sure that all the information available from Windaq would also be available in their software.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Milo brought up the fact that recordings with multiple probes are much longer and more computational power to use. Is it reasonable to chop up the recordings into individual probes / remove the NP part of the recording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Cooper said it could be reasonable to chop up the waveforms into different probes.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Reif asked if computational power is expected to be high for inference or if Milo is mostly referring to training.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Milo clarified that he is mostly referring to training, we expect inference to be much faster / computationally intensive.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Prof. Hope and Milo discussed making the model more memory efficient, will continue their conversation offline.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Mehrezat brought up that we are going to start working on the user interface.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Next Meeting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 will present the results of transition-based analysis (changepoint detection)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