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Zach: interface updates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displays plot and labels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buttons for open data, start labeling, and save labeled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can scale and pan on time and voltage axes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can modify labels, and add/remove transitions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Dr. Cooper: would be nice to display the equivalent Windaq compression level for reporting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Dr. Reif: would be nice to have some default settings that align with Windaq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Dr. Cooper: would be nice to have user preferences that can be saved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Dr. Reif question: could Windaq event markers be displayed?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Windaq numbering system is cumbersome, perhaps this could be changed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 this is on our list of features to add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Dr. Reif question: can we ensure that we don't overwrite files?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 We can't easily write Windaq files, so we will write a different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What should the output format be?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 probably a plaintext format that can work with Excel, SAS, R, Infest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Dr. Reif: would be nice to show some basic statistics about the current waveform --- amplitude, length,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Dr Cooper: would be nice to have a way to count the peaks in the current waveform as well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 updates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We should look into what might be the best place to publish our 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machine learning itself not novel, but application is interesting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We will complete our midyear report in a few weeks, will have information on models so far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Site visit: we were hoping to visit late Feb / early March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Visiting Auburn would need to be late March or early April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Dr Reif question: what are we looking to accomplish during our site visit?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We might be able to get biting midge data, same basic waveforms, but some differences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would be a good test for the versatility of our models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Dr. Reif question: how do we adapt the model for very different waveforms?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 Milo: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retraining from scratch might be possible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some of our models have been designed with mosquitos in mind, mosquito recordings are relatively short, might be hard to adapt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lot of uncertainty about generalizing, we haven't spent much time looking at other waveforms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Dr. Backus will be sad if we don't do any aphids :(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Next meeting will be Dec.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