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Mehrezat, Prof. Hope are going to submit the driver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User feedback on interface</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Make a form to fill out</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Compare and contrast between windaq and ours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User feedback on different models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Paper discussion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Slides for discussion in general</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Of models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Of other things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 should have an extra work session on Saturday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Hello Dr. Cooper,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primary goal for the site visit is to give you and the other liaisons a broader understanding of where our project currently stands than we normally give in our weekly updates so that we can prioritize our work for the rest of the semester. For reference, the Clinic-mandated feature freeze (after which we can’t implement anything new) is April 11 and the coding freeze (after which we can no longer do anything to the software or models) is April 25. Therefore we will only have four weeks of school (not counting spring break) after the site visit to implement any new features and just a couple weeks after that in which we can finalize everything. In addition, we will be starting our work on presentations, posters, and final reports during this period as well. All of this is to say that effectively prioritizing our work following the site visit will be of the utmost importance. With this in mind, our priorities for the site visit are as follows: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See how science gets done in the real world! It is nice for us to see how our work on the computer translates into something tangible.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Give a tutorial on how to use the software and a description of its features.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Liaison testing of the software and extensive feedback.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We will have forms for the liaisons to fill out for this purpose, but verbal feedback will also be important.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Provide the liaisons with a summary of the machine learning models and enhancements so far.</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This will be in the form of a presentation. If we could have access to a conference room for this that would be ideal.</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Answer questions regarding the machine learning models both in general and as they pertain to the paper.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Discuss what the final deliverable will look like.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This will involve both a discussion of final features to add and how software and documentation should be packaged / presented.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Produce a list of ranked priorities for the rest of the semester in collaboration with the liaisons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This will provide us guidance for the rest of the semester.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site visit is an excellent opportunity for us to make sure we finish out the project strong and we are excited to see you next week!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-Zach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