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614E" w:rsidRDefault="007248CA">
      <w:pPr>
        <w:pStyle w:val="Title"/>
      </w:pPr>
      <w:r>
        <w:t>Evaluation of post-season Chinook FRAM performance</w:t>
      </w:r>
    </w:p>
    <w:p w:rsidR="00B3614E" w:rsidRDefault="007248CA">
      <w:pPr>
        <w:pStyle w:val="Date"/>
      </w:pPr>
      <w:r>
        <w:t>Some date, 2021</w:t>
      </w:r>
    </w:p>
    <w:p w:rsidR="00B3614E" w:rsidRDefault="007248CA">
      <w:pPr>
        <w:pStyle w:val="Heading2"/>
      </w:pPr>
      <w:bookmarkStart w:id="0" w:name="to-do"/>
      <w:bookmarkEnd w:id="0"/>
      <w:r>
        <w:t>To-do</w:t>
      </w:r>
    </w:p>
    <w:p w:rsidR="00B3614E" w:rsidRDefault="007248CA">
      <w:pPr>
        <w:pStyle w:val="Compact"/>
        <w:numPr>
          <w:ilvl w:val="0"/>
          <w:numId w:val="3"/>
        </w:numPr>
      </w:pPr>
      <w:r>
        <w:t>Update date and authors</w:t>
      </w:r>
    </w:p>
    <w:p w:rsidR="00B3614E" w:rsidRDefault="007248CA">
      <w:pPr>
        <w:pStyle w:val="Compact"/>
        <w:numPr>
          <w:ilvl w:val="0"/>
          <w:numId w:val="3"/>
        </w:numPr>
      </w:pPr>
      <w:r>
        <w:t>Add text to intro or methods explaining why 1999-2018 time frame (spans twenty years and two PST agreements..)</w:t>
      </w:r>
    </w:p>
    <w:p w:rsidR="00B3614E" w:rsidRDefault="007248CA">
      <w:pPr>
        <w:pStyle w:val="Compact"/>
        <w:numPr>
          <w:ilvl w:val="0"/>
          <w:numId w:val="3"/>
        </w:numPr>
      </w:pPr>
      <w:r>
        <w:t>Stock names in right-most column of legend in scatter plots getting cut off</w:t>
      </w:r>
    </w:p>
    <w:p w:rsidR="00B3614E" w:rsidRDefault="007248CA">
      <w:pPr>
        <w:pStyle w:val="Compact"/>
        <w:numPr>
          <w:ilvl w:val="0"/>
          <w:numId w:val="3"/>
        </w:numPr>
      </w:pPr>
      <w:r>
        <w:t>Maybe a sentence or two at the beginning of case studies section explaining how we selected the case studies</w:t>
      </w:r>
    </w:p>
    <w:p w:rsidR="00B3614E" w:rsidRDefault="007248CA">
      <w:pPr>
        <w:pStyle w:val="Compact"/>
        <w:numPr>
          <w:ilvl w:val="0"/>
          <w:numId w:val="3"/>
        </w:numPr>
      </w:pPr>
      <w:r>
        <w:t>In case studies section, expand upon methods for removal of FW sport fr</w:t>
      </w:r>
      <w:r>
        <w:t>om abundances for certain PS stock/years (add in AHB's table, identification of years with FW sport recoveries, years accounted for in Skagit, but mapped to escapement, recommendation for ERA to map to Terminal SUS sport instead of escapement).</w:t>
      </w:r>
    </w:p>
    <w:p w:rsidR="00B3614E" w:rsidRDefault="007248CA">
      <w:pPr>
        <w:pStyle w:val="Compact"/>
        <w:numPr>
          <w:ilvl w:val="0"/>
          <w:numId w:val="3"/>
        </w:numPr>
      </w:pPr>
      <w:r>
        <w:t>work in abu</w:t>
      </w:r>
      <w:r>
        <w:t>ndances and FRAM_adj ERs provided by Jeremiah/AHB for certain PS stocks</w:t>
      </w:r>
    </w:p>
    <w:p w:rsidR="00B3614E" w:rsidRDefault="007248CA">
      <w:pPr>
        <w:pStyle w:val="Compact"/>
        <w:numPr>
          <w:ilvl w:val="0"/>
          <w:numId w:val="3"/>
        </w:numPr>
      </w:pPr>
      <w:r>
        <w:t>Expand on text in "conclusions and next steps" section, specifically:</w:t>
      </w:r>
    </w:p>
    <w:p w:rsidR="00B3614E" w:rsidRDefault="007248CA">
      <w:pPr>
        <w:pStyle w:val="Compact"/>
        <w:numPr>
          <w:ilvl w:val="0"/>
          <w:numId w:val="3"/>
        </w:numPr>
      </w:pPr>
      <w:r>
        <w:t xml:space="preserve">add something about greater annual variability in ERA ERs compared to FRAM ERs, as expected given FRAM's reliance </w:t>
      </w:r>
      <w:r>
        <w:t>on a base period data set</w:t>
      </w:r>
    </w:p>
    <w:p w:rsidR="00B3614E" w:rsidRDefault="007248CA">
      <w:pPr>
        <w:pStyle w:val="Compact"/>
        <w:numPr>
          <w:ilvl w:val="0"/>
          <w:numId w:val="3"/>
        </w:numPr>
      </w:pPr>
      <w:r>
        <w:t>For review, include some focus on ERs for ERA stocks used by STT for overfishing determination</w:t>
      </w:r>
    </w:p>
    <w:p w:rsidR="00B3614E" w:rsidRDefault="007248CA">
      <w:pPr>
        <w:pStyle w:val="Compact"/>
        <w:numPr>
          <w:ilvl w:val="0"/>
          <w:numId w:val="3"/>
        </w:numPr>
      </w:pPr>
      <w:r>
        <w:t>Note that variability in maturation rates would affect cohort sizes, which is of relevance to SRKW assessments (maybe there's something</w:t>
      </w:r>
      <w:r>
        <w:t xml:space="preserve"> to cite in risk assessment?)</w:t>
      </w:r>
    </w:p>
    <w:p w:rsidR="00B3614E" w:rsidRDefault="007248CA">
      <w:pPr>
        <w:pStyle w:val="Compact"/>
        <w:numPr>
          <w:ilvl w:val="0"/>
          <w:numId w:val="3"/>
        </w:numPr>
      </w:pPr>
      <w:r>
        <w:t>Add a recommendation to repeat this assessment for UM Chinook one MSF algorithms have been incorporated into the ERA</w:t>
      </w:r>
    </w:p>
    <w:p w:rsidR="00B3614E" w:rsidRDefault="007248CA">
      <w:pPr>
        <w:pStyle w:val="Compact"/>
        <w:numPr>
          <w:ilvl w:val="0"/>
          <w:numId w:val="3"/>
        </w:numPr>
      </w:pPr>
      <w:r>
        <w:t>Acknowledge CTC for their support in providing data</w:t>
      </w:r>
    </w:p>
    <w:p w:rsidR="00B3614E" w:rsidRDefault="007248CA">
      <w:pPr>
        <w:pStyle w:val="Heading2"/>
      </w:pPr>
      <w:bookmarkStart w:id="1" w:name="introduction"/>
      <w:bookmarkEnd w:id="1"/>
      <w:r>
        <w:t>Introduction</w:t>
      </w:r>
    </w:p>
    <w:p w:rsidR="00B3614E" w:rsidRDefault="007248CA">
      <w:pPr>
        <w:pStyle w:val="FirstParagraph"/>
      </w:pPr>
      <w:r>
        <w:t>As part of the annual preseason planning pro</w:t>
      </w:r>
      <w:r>
        <w:t>cess for setting salmon fisheries in the marine waters of Washington and Oregon, the Pacific Fishery Management Council (PFMC) and Washington co-managers use the Fishery Regulation Assessment Model (FRAM) to estimate impacts of proposed fisheries on variou</w:t>
      </w:r>
      <w:r>
        <w:t>s coho and Chinook stocks. For Chinook specifically, FRAM is used to help plan PFMC ocean fisheries that occur north of Cape Falcon, OR as well as those that occur in the Strait of Juan de Fuca and Puget Sound. The FRAM is a deterministic single-pool model</w:t>
      </w:r>
      <w:r>
        <w:t xml:space="preserve"> where each model run occurs over a single year and estimates fishery impacts by stock for specific time periods and age classes. For details on model structure and computational processes, in addition to a user manual, see the </w:t>
      </w:r>
      <w:hyperlink r:id="rId7">
        <w:r>
          <w:rPr>
            <w:rStyle w:val="Hyperlink"/>
          </w:rPr>
          <w:t>FRAM Documentation Website</w:t>
        </w:r>
      </w:hyperlink>
      <w:r>
        <w:t>.</w:t>
      </w:r>
    </w:p>
    <w:p w:rsidR="00B3614E" w:rsidRDefault="007248CA">
      <w:pPr>
        <w:pStyle w:val="BodyText"/>
      </w:pPr>
      <w:r>
        <w:lastRenderedPageBreak/>
        <w:t>The FRAM is rooted in a set of base period data derived through species-specific cohort analysis procedures that are founded primarily on coded-wire tag (CWT) recoveries. Key Chinook base p</w:t>
      </w:r>
      <w:r>
        <w:t>eriod data include stock-age-fishery-time period specific exploitation rates, cohort sizes, maturation rates, adult equivalent (AEQ) rates, and growth function parameters. The original set of base period data for Chinook was derived from CWTs released duri</w:t>
      </w:r>
      <w:r>
        <w:t>ng the 1974 - 1979 brood years and shared many of the same CWT tag groups that were used to represent exploitation rate indicator stocks and model stocks of the Pacific Salmon Commission (PSC) Chinook Model that is used for fishery management in accordance</w:t>
      </w:r>
      <w:r>
        <w:t xml:space="preserve"> with the Pacific Salmon Treaty (PST). In recent years, a considerable amount of effort has been devoted to contemporizing and continually refining the Chinook FRAM base period data set, which is now derived from CWTs released during the 2005 - 2008 brood </w:t>
      </w:r>
      <w:r>
        <w:t>years. The most current base period calibration, referred to as "Round 7.1.1" was created in September 2021 and was produced along with a time series of postseason model runs (referred to as validation runs) ranging from 1992 - 2018. Utilizing these more c</w:t>
      </w:r>
      <w:r>
        <w:t>ontemporary base period years for FRAM means that there is no longer overlap in the CWT tag groups used to represent many of the model stocks in the PSC Chinook model, as much of the base data for the PSC Chinook model are still rooted in earlier brood yea</w:t>
      </w:r>
      <w:r>
        <w:t>rs. However, there is still considerable overlap between the tag codes used to represent many Chinook FRAM stocks and the brood year 2005 - 2008 tag codes used for exploitation rate indicator stocks as part of the Chinook Technical Committee's (CTC) annual</w:t>
      </w:r>
      <w:r>
        <w:t xml:space="preserve"> Exploitation Rate Analysis (ERA).</w:t>
      </w:r>
    </w:p>
    <w:p w:rsidR="00B3614E" w:rsidRDefault="007248CA">
      <w:pPr>
        <w:pStyle w:val="BodyText"/>
      </w:pPr>
      <w:r>
        <w:t>The purpose of this assessment is to provide an evaluation of FRAM postseason performance by comparing it with independently derived metrics from the CTC's annual ERA for appropriate stocks. It is important to acknowledge</w:t>
      </w:r>
      <w:r>
        <w:t xml:space="preserve"> that the exploitation rates and other parameters produced by FRAM and the ERA are all estimates of the true values, which remain unknown. While each model has strengths and weaknesses, in many cases it remains difficult to determine which is more accurate</w:t>
      </w:r>
      <w:r>
        <w:t>. That said, this exercise remains useful in that it can help to identify discrepancies between the two models. Subsequent investigations into these discrepancies can lead to identification of errors or other recommendations for improvement to either model</w:t>
      </w:r>
      <w:r>
        <w:t>. This exercise may be of particular value for some Puget Sound Chinook stocks, where ERA harvest rates are used to inform stock-recruit models and subsequent rebuilding exploitation rate (RER) analyses. In some cases these RERs have been used to inform fi</w:t>
      </w:r>
      <w:r>
        <w:t>shery limitations under the Endangered Species Act (ESA), and in cases where discrepancies exist between ERA and FRAM exploitation rates, a translation to a "FRAM-equivalent" RER becomes necessary, as FRAM is the tool used to assess fishery impacts.</w:t>
      </w:r>
    </w:p>
    <w:p w:rsidR="00B3614E" w:rsidRDefault="007248CA">
      <w:pPr>
        <w:pStyle w:val="Heading3"/>
      </w:pPr>
      <w:bookmarkStart w:id="2" w:name="model-similarities-and-differences"/>
      <w:bookmarkEnd w:id="2"/>
      <w:r>
        <w:t xml:space="preserve">Model </w:t>
      </w:r>
      <w:r>
        <w:t>similarities and differences</w:t>
      </w:r>
    </w:p>
    <w:p w:rsidR="00B3614E" w:rsidRDefault="007248CA">
      <w:pPr>
        <w:pStyle w:val="FirstParagraph"/>
      </w:pPr>
      <w:r>
        <w:t xml:space="preserve">Before comparing output of these two models, it is important to highlight some of the key similarities and differences between them. Both processes are rooted in a standard CWT-based cohort analysis. A key difference, however, </w:t>
      </w:r>
      <w:r>
        <w:t>is that while FRAM uses a single cohort analysis to derive a set of base period data, the ERA conducts a separate cohort analysis for each individual brood year across the time series of available data. This difference is a result of the primary intended u</w:t>
      </w:r>
      <w:r>
        <w:t xml:space="preserve">se of each model. The ERA is conducted in a postseason </w:t>
      </w:r>
      <w:r>
        <w:lastRenderedPageBreak/>
        <w:t>context only, as it requires CWT recoveries from a given year in order to produce output for that year. Chinook FRAM, however, can be used in both a preseason and postseason context, although the prima</w:t>
      </w:r>
      <w:r>
        <w:t xml:space="preserve">ry use is in a preseason context for estimating the impacts of proposed fisheries on various Chinook stocks during an upcoming fishing season. As such, the model employs a set of base period reference data, including stock-age-fishery-time period specific </w:t>
      </w:r>
      <w:r>
        <w:t>exploitation rates and maturation rates, which remain static between model runs. Given FRAM's reliance on a base period and the assumption of static parameters across years, we don't expect perfect agreement between FRAM and ERA exploitation rates across t</w:t>
      </w:r>
      <w:r>
        <w:t>he entire time series. Instead, a comparison of average exploitation rates over time may be more appropriate.</w:t>
      </w:r>
    </w:p>
    <w:p w:rsidR="00B3614E" w:rsidRDefault="007248CA">
      <w:pPr>
        <w:pStyle w:val="BodyText"/>
      </w:pPr>
      <w:r>
        <w:t>Given the need to accommodate the fishery management cycle and different fishing seasons (e.g., winter, spring, summer) during preseason model run</w:t>
      </w:r>
      <w:r>
        <w:t xml:space="preserve">s, Chinook FRAM operates over a series of four time steps within a given year: (1) the preceding October to April, (2) May to June, (3) July to September, and (4) October to the following April. In contrast, the ERA operates over a single annual time step </w:t>
      </w:r>
      <w:r>
        <w:t xml:space="preserve">for each calendar year. For the purposes of this assessment, FRAM exploitation rates are calculated by summing across time steps 1-3, thus a given year represents October of the preceding year through September of the year specified, resulting in a slight </w:t>
      </w:r>
      <w:r>
        <w:t>disconnect between the true calendar years represented in the ERA.</w:t>
      </w:r>
    </w:p>
    <w:p w:rsidR="00B3614E" w:rsidRDefault="007248CA">
      <w:pPr>
        <w:pStyle w:val="BodyText"/>
      </w:pPr>
      <w:r>
        <w:t>Both models incorporate natural mortality at the same assumed annual rates of 40% for age 2, 30% for age 3, 20% for age 4, and 10% for age 5. Both models also account for incidental fishing</w:t>
      </w:r>
      <w:r>
        <w:t xml:space="preserve"> mortality (e.g., shaker mortality, legal and sublegal non-retention, drop-off), however, the assumed release mortality and drop-off mortality rates differ.</w:t>
      </w:r>
    </w:p>
    <w:p w:rsidR="00B3614E" w:rsidRDefault="007248CA">
      <w:pPr>
        <w:pStyle w:val="BodyText"/>
      </w:pPr>
      <w:r>
        <w:t>Chinook FRAM is a multi-stock model which, with a few notable exceptions, attempts to account for t</w:t>
      </w:r>
      <w:r>
        <w:t>he majority of Chinook production from the Sacramento River in the South to Cape Caution, British Columbia in the north. Hence, model stocks account for most of the modeled fishery catch. During cohort reconstruction FRAM incorporates a step where the reco</w:t>
      </w:r>
      <w:r>
        <w:t>veries in a fishery are expanded to match the reported catch in a fishery. This can result in base period exploitation rate errors when catches are misreported. Conversely, it can improve estimates for fisheries with inaccurate "Estimated CWTs". Additional</w:t>
      </w:r>
      <w:r>
        <w:t>ly, Chinook FRAM incorporates imputed recoveries into the base period cohort analyses for some fisheries where sampling was known to have not occurred (i.e., certain Puget Sound freshwater sport fisheries), whereas in the ERA these recoveries are currently</w:t>
      </w:r>
      <w:r>
        <w:t xml:space="preserve"> unaccounted for.</w:t>
      </w:r>
    </w:p>
    <w:p w:rsidR="00B3614E" w:rsidRDefault="007248CA">
      <w:pPr>
        <w:pStyle w:val="BodyText"/>
      </w:pPr>
      <w:r>
        <w:t>Another notable difference between Chinook FRAM and the ERA in its current state is that FRAM contains separate "marked" (adipose fin clipped) and "unmarked" (adipose intact) components for each stock and algorithms for processing mark-se</w:t>
      </w:r>
      <w:r>
        <w:t xml:space="preserve">lective fisheries (MSFs) while the ERA does not. The CTC is currently in the process of developing MSF algorithms for the ERA to allow assessment of impacts on unmarked Chinook, however, an anticipated completion date is yet to be determined. Pairing FRAM </w:t>
      </w:r>
      <w:r>
        <w:t xml:space="preserve">with the associated Terminal Area Management Module (TAMM) excel file also allows for accounting of differential impacts to natural populations in selective fisheries (mark, area, gear, time, etc.) as well as processing </w:t>
      </w:r>
      <w:r>
        <w:lastRenderedPageBreak/>
        <w:t>of freshwater fisheries on a populat</w:t>
      </w:r>
      <w:r>
        <w:t>ion level by splitting individual populations from existing model stock aggregates.</w:t>
      </w:r>
    </w:p>
    <w:p w:rsidR="00B3614E" w:rsidRDefault="007248CA">
      <w:pPr>
        <w:pStyle w:val="Heading2"/>
      </w:pPr>
      <w:bookmarkStart w:id="3" w:name="methods"/>
      <w:bookmarkEnd w:id="3"/>
      <w:r>
        <w:t>Methods</w:t>
      </w:r>
    </w:p>
    <w:p w:rsidR="00B3614E" w:rsidRDefault="007248CA">
      <w:pPr>
        <w:pStyle w:val="Heading3"/>
      </w:pPr>
      <w:bookmarkStart w:id="4" w:name="stocks"/>
      <w:bookmarkEnd w:id="4"/>
      <w:r>
        <w:t>Stocks</w:t>
      </w:r>
    </w:p>
    <w:p w:rsidR="00B3614E" w:rsidRDefault="007248CA">
      <w:pPr>
        <w:pStyle w:val="FirstParagraph"/>
      </w:pPr>
      <w:r>
        <w:t>The table below provides a list of FRAM and ERA stocks that were included in this evaluation and how they relate to each other, based on a review and comparison of the CWT codes used to represent each stock. In all cases there is at least some overlap in t</w:t>
      </w:r>
      <w:r>
        <w:t>he tag codes used to represent the FRAM and ERA stocks. In some cases there is more than one ERA stock used to represent a single FRAM stock. In these cases, exploitation rates and maturation rates were averaged across all ERA stocks that correspond to a s</w:t>
      </w:r>
      <w:r>
        <w:t>ingle FRAM stock. There are some FRAM stocks that were not included in this evaluation due to lack of a suitable ERA counterpart. Generally these were small Puget Sound yearling stocks (e.g., South Puget Sound fall yearling, Hood Canal fall yearling), stoc</w:t>
      </w:r>
      <w:r>
        <w:t>ks without marked tag codes to represent them, (e.g., White River spring, Strait of Juan de Fuca), or stocks that are outside the purview of the PST (e.g., Sacramento River Fall Chinook).</w:t>
      </w:r>
    </w:p>
    <w:p w:rsidR="00B3614E" w:rsidRDefault="007248CA">
      <w:pPr>
        <w:pStyle w:val="BodyText"/>
      </w:pPr>
      <w:r>
        <w:t>Table 1. Table relating FRAM stocks to ERA stocks</w:t>
      </w:r>
    </w:p>
    <w:p w:rsidR="00B3614E" w:rsidRDefault="007248CA">
      <w:pPr>
        <w:pStyle w:val="Figure"/>
      </w:pPr>
      <w:r>
        <w:rPr>
          <w:noProof/>
        </w:rPr>
        <w:lastRenderedPageBreak/>
        <w:drawing>
          <wp:inline distT="0" distB="0" distL="0" distR="0">
            <wp:extent cx="5334000" cy="516093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jonathan.carey/Documents/FRAM/Calibration_Validation/Chinook/2020/Final%20Package%207.1.1/FRAM_ERA_Compare/StkCrosswalk.jpg"/>
                    <pic:cNvPicPr>
                      <a:picLocks noChangeAspect="1" noChangeArrowheads="1"/>
                    </pic:cNvPicPr>
                  </pic:nvPicPr>
                  <pic:blipFill>
                    <a:blip r:embed="rId8"/>
                    <a:stretch>
                      <a:fillRect/>
                    </a:stretch>
                  </pic:blipFill>
                  <pic:spPr bwMode="auto">
                    <a:xfrm>
                      <a:off x="0" y="0"/>
                      <a:ext cx="5334000" cy="5160938"/>
                    </a:xfrm>
                    <a:prstGeom prst="rect">
                      <a:avLst/>
                    </a:prstGeom>
                    <a:noFill/>
                    <a:ln w="9525">
                      <a:noFill/>
                      <a:headEnd/>
                      <a:tailEnd/>
                    </a:ln>
                  </pic:spPr>
                </pic:pic>
              </a:graphicData>
            </a:graphic>
          </wp:inline>
        </w:drawing>
      </w:r>
    </w:p>
    <w:p w:rsidR="00B3614E" w:rsidRDefault="007248CA">
      <w:pPr>
        <w:pStyle w:val="Heading3"/>
      </w:pPr>
      <w:bookmarkStart w:id="5" w:name="fisheries"/>
      <w:bookmarkEnd w:id="5"/>
      <w:r>
        <w:t>Fisheries</w:t>
      </w:r>
    </w:p>
    <w:p w:rsidR="00B3614E" w:rsidRDefault="007248CA">
      <w:pPr>
        <w:pStyle w:val="FirstParagraph"/>
      </w:pPr>
      <w:r>
        <w:t>The ta</w:t>
      </w:r>
      <w:r>
        <w:t>ble below provides a crosswalk of FRAM fisheries and ERA fishery groupings to four regions as presented in figures below: Southeast Alaska (SEAK), Northern and Central British Columbia (NBC), Southern British Columbia (SBC), and Southern United States (SUS</w:t>
      </w:r>
      <w:r>
        <w:t>). FRAM includes 73 fisheries from southeast Alaska, Canada, Puget Sound and off the Coast of Washington, Oregon, and California. The ERA contains 233 fine scale fisheries encompassing the same range as those in FRAM, which get aggregated into 28 fishery g</w:t>
      </w:r>
      <w:r>
        <w:t>roupings for reporting in "total mortality distribution tables," which get reported in annual ERA reports (see reference and link below). Efforts were made to ensure alignment between FRAM fisheries and ERA fisheries when assigning each fishery to a region</w:t>
      </w:r>
      <w:r>
        <w:t xml:space="preserve"> for comparative purposes. There may, however, be unique, stock-specific instances where misalignments occur.</w:t>
      </w:r>
    </w:p>
    <w:p w:rsidR="00B3614E" w:rsidRDefault="007248CA">
      <w:pPr>
        <w:pStyle w:val="BodyText"/>
      </w:pPr>
      <w:r>
        <w:t>Table 2. Table relating FRAM fisheries to ERA fisheries</w:t>
      </w:r>
    </w:p>
    <w:p w:rsidR="00B3614E" w:rsidRDefault="007248CA">
      <w:pPr>
        <w:pStyle w:val="Figure"/>
      </w:pPr>
      <w:r>
        <w:rPr>
          <w:noProof/>
        </w:rPr>
        <w:lastRenderedPageBreak/>
        <w:drawing>
          <wp:inline distT="0" distB="0" distL="0" distR="0">
            <wp:extent cx="5334000" cy="4256897"/>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jonathan.carey/Documents/FRAM/Calibration_Validation/Chinook/2020/Final%20Package%207.1.1/FRAM_ERA_Compare/FishCrosswalk.jpg"/>
                    <pic:cNvPicPr>
                      <a:picLocks noChangeAspect="1" noChangeArrowheads="1"/>
                    </pic:cNvPicPr>
                  </pic:nvPicPr>
                  <pic:blipFill>
                    <a:blip r:embed="rId9"/>
                    <a:stretch>
                      <a:fillRect/>
                    </a:stretch>
                  </pic:blipFill>
                  <pic:spPr bwMode="auto">
                    <a:xfrm>
                      <a:off x="0" y="0"/>
                      <a:ext cx="5334000" cy="4256897"/>
                    </a:xfrm>
                    <a:prstGeom prst="rect">
                      <a:avLst/>
                    </a:prstGeom>
                    <a:noFill/>
                    <a:ln w="9525">
                      <a:noFill/>
                      <a:headEnd/>
                      <a:tailEnd/>
                    </a:ln>
                  </pic:spPr>
                </pic:pic>
              </a:graphicData>
            </a:graphic>
          </wp:inline>
        </w:drawing>
      </w:r>
    </w:p>
    <w:p w:rsidR="00B3614E" w:rsidRDefault="007248CA">
      <w:pPr>
        <w:pStyle w:val="Heading3"/>
      </w:pPr>
      <w:bookmarkStart w:id="6" w:name="exploitation-rates"/>
      <w:bookmarkEnd w:id="6"/>
      <w:r>
        <w:t>Exploitation Rates</w:t>
      </w:r>
    </w:p>
    <w:p w:rsidR="00B3614E" w:rsidRDefault="007248CA">
      <w:pPr>
        <w:pStyle w:val="Heading4"/>
      </w:pPr>
      <w:bookmarkStart w:id="7" w:name="era"/>
      <w:bookmarkEnd w:id="7"/>
      <w:r>
        <w:t>ERA</w:t>
      </w:r>
    </w:p>
    <w:p w:rsidR="00B3614E" w:rsidRDefault="007248CA">
      <w:pPr>
        <w:pStyle w:val="FirstParagraph"/>
      </w:pPr>
      <w:r>
        <w:t>Each year the CTC conducts an "Exploitation Rate Analysis" (ERA),</w:t>
      </w:r>
      <w:r>
        <w:t xml:space="preserve"> which involves brood year specific CWT-based cohort analyses that reconstruct the cohort size and exploitation rate history for a given set of exploitation rate indicator stocks. Methods and algorithms central to the ERA can be found in Appendix II, Suppl</w:t>
      </w:r>
      <w:r>
        <w:t xml:space="preserve">ement B of </w:t>
      </w:r>
      <w:hyperlink r:id="rId10">
        <w:r>
          <w:rPr>
            <w:rStyle w:val="Hyperlink"/>
          </w:rPr>
          <w:t>CTC, 1988</w:t>
        </w:r>
      </w:hyperlink>
      <w:r>
        <w:t>. For this assessment we used results from the ERA conducted in 2020, which provides calendar year exploitation rate estimates thr</w:t>
      </w:r>
      <w:r>
        <w:t xml:space="preserve">ough 2018 for all indicator stocks. Results of this analysis are published and available on the PSC website </w:t>
      </w:r>
      <w:hyperlink r:id="rId11">
        <w:r>
          <w:rPr>
            <w:rStyle w:val="Hyperlink"/>
          </w:rPr>
          <w:t>CTC, 2021</w:t>
        </w:r>
      </w:hyperlink>
      <w:r>
        <w:t>. Calendar year exploitation rates</w:t>
      </w:r>
      <w:r>
        <w:t xml:space="preserve"> derived from the CTC's ERA can be obtained from adult equivalent (AEQ) total mortality distribution tables included in Appendix C of the published report, (also </w:t>
      </w:r>
      <w:hyperlink r:id="rId12">
        <w:r>
          <w:rPr>
            <w:rStyle w:val="Hyperlink"/>
          </w:rPr>
          <w:t>available electronically</w:t>
        </w:r>
      </w:hyperlink>
      <w:r>
        <w:t xml:space="preserve"> on the PSC website) and are calculated for each stock (s) in a given calendar year (cy) for a subset of fisheries (F) as:</w:t>
      </w:r>
    </w:p>
    <w:p w:rsidR="00B3614E" w:rsidRDefault="007248CA">
      <w:pPr>
        <w:pStyle w:val="BodyText"/>
      </w:pPr>
      <m:oMathPara>
        <m:oMathParaPr>
          <m:jc m:val="center"/>
        </m:oMathParaPr>
        <m:oMath>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cy</m:t>
              </m:r>
              <m:r>
                <w:rPr>
                  <w:rFonts w:ascii="Cambria Math" w:hAnsi="Cambria Math"/>
                </w:rPr>
                <m:t>,</m:t>
              </m:r>
              <m:r>
                <w:rPr>
                  <w:rFonts w:ascii="Cambria Math" w:hAnsi="Cambria Math"/>
                </w:rPr>
                <m:t>s</m:t>
              </m:r>
              <m:r>
                <w:rPr>
                  <w:rFonts w:ascii="Cambria Math" w:hAnsi="Cambria Math"/>
                </w:rPr>
                <m:t>,</m:t>
              </m:r>
              <m:r>
                <w:rPr>
                  <w:rFonts w:ascii="Cambria Math" w:hAnsi="Cambria Math"/>
                </w:rPr>
                <m:t>F</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a</m:t>
                  </m:r>
                  <m:r>
                    <w:rPr>
                      <w:rFonts w:ascii="Cambria Math" w:hAnsi="Cambria Math"/>
                    </w:rPr>
                    <m:t>=</m:t>
                  </m:r>
                  <m:r>
                    <w:rPr>
                      <w:rFonts w:ascii="Cambria Math" w:hAnsi="Cambria Math"/>
                    </w:rPr>
                    <m:t>MinAge</m:t>
                  </m:r>
                </m:sub>
                <m:sup>
                  <m:r>
                    <w:rPr>
                      <w:rFonts w:ascii="Cambria Math" w:hAnsi="Cambria Math"/>
                    </w:rPr>
                    <m:t>MaxAge</m:t>
                  </m:r>
                </m:sup>
                <m:e>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f</m:t>
                          </m:r>
                          <m:r>
                            <w:rPr>
                              <w:rFonts w:ascii="Cambria Math" w:hAnsi="Cambria Math"/>
                            </w:rPr>
                            <m:t>∈</m:t>
                          </m:r>
                          <m:r>
                            <w:rPr>
                              <w:rFonts w:ascii="Cambria Math" w:hAnsi="Cambria Math"/>
                            </w:rPr>
                            <m:t>F</m:t>
                          </m:r>
                        </m:sub>
                        <m:sup/>
                        <m:e>
                          <m:r>
                            <w:rPr>
                              <w:rFonts w:ascii="Cambria Math" w:hAnsi="Cambria Math"/>
                            </w:rPr>
                            <m:t>T</m:t>
                          </m:r>
                        </m:e>
                      </m:nary>
                      <m:r>
                        <w:rPr>
                          <w:rFonts w:ascii="Cambria Math" w:hAnsi="Cambria Math"/>
                        </w:rPr>
                        <m:t>otMor</m:t>
                      </m:r>
                      <m:sSub>
                        <m:sSubPr>
                          <m:ctrlPr>
                            <w:rPr>
                              <w:rFonts w:ascii="Cambria Math" w:hAnsi="Cambria Math"/>
                            </w:rPr>
                          </m:ctrlPr>
                        </m:sSubPr>
                        <m:e>
                          <m:r>
                            <w:rPr>
                              <w:rFonts w:ascii="Cambria Math" w:hAnsi="Cambria Math"/>
                            </w:rPr>
                            <m:t>t</m:t>
                          </m:r>
                        </m:e>
                        <m:sub>
                          <m:r>
                            <w:rPr>
                              <w:rFonts w:ascii="Cambria Math" w:hAnsi="Cambria Math"/>
                            </w:rPr>
                            <m:t>c</m:t>
                          </m:r>
                          <m:r>
                            <w:rPr>
                              <w:rFonts w:ascii="Cambria Math" w:hAnsi="Cambria Math"/>
                            </w:rPr>
                            <m:t>y</m:t>
                          </m:r>
                          <m:r>
                            <w:rPr>
                              <w:rFonts w:ascii="Cambria Math" w:hAnsi="Cambria Math"/>
                            </w:rPr>
                            <m:t>,</m:t>
                          </m:r>
                          <m:r>
                            <w:rPr>
                              <w:rFonts w:ascii="Cambria Math" w:hAnsi="Cambria Math"/>
                            </w:rPr>
                            <m:t>s</m:t>
                          </m:r>
                          <m:r>
                            <w:rPr>
                              <w:rFonts w:ascii="Cambria Math" w:hAnsi="Cambria Math"/>
                            </w:rPr>
                            <m:t>,</m:t>
                          </m:r>
                          <m:r>
                            <w:rPr>
                              <w:rFonts w:ascii="Cambria Math" w:hAnsi="Cambria Math"/>
                            </w:rPr>
                            <m:t>a</m:t>
                          </m:r>
                          <m:r>
                            <w:rPr>
                              <w:rFonts w:ascii="Cambria Math" w:hAnsi="Cambria Math"/>
                            </w:rPr>
                            <m:t>,</m:t>
                          </m:r>
                          <m:r>
                            <w:rPr>
                              <w:rFonts w:ascii="Cambria Math" w:hAnsi="Cambria Math"/>
                            </w:rPr>
                            <m:t>f</m:t>
                          </m:r>
                        </m:sub>
                      </m:sSub>
                      <m:r>
                        <w:rPr>
                          <w:rFonts w:ascii="Cambria Math" w:hAnsi="Cambria Math"/>
                        </w:rPr>
                        <m:t>*</m:t>
                      </m:r>
                      <m:r>
                        <w:rPr>
                          <w:rFonts w:ascii="Cambria Math" w:hAnsi="Cambria Math"/>
                        </w:rPr>
                        <m:t>AE</m:t>
                      </m:r>
                      <m:sSub>
                        <m:sSubPr>
                          <m:ctrlPr>
                            <w:rPr>
                              <w:rFonts w:ascii="Cambria Math" w:hAnsi="Cambria Math"/>
                            </w:rPr>
                          </m:ctrlPr>
                        </m:sSubPr>
                        <m:e>
                          <m:r>
                            <w:rPr>
                              <w:rFonts w:ascii="Cambria Math" w:hAnsi="Cambria Math"/>
                            </w:rPr>
                            <m:t>Q</m:t>
                          </m:r>
                        </m:e>
                        <m:sub>
                          <m:r>
                            <w:rPr>
                              <w:rFonts w:ascii="Cambria Math" w:hAnsi="Cambria Math"/>
                            </w:rPr>
                            <m:t>s</m:t>
                          </m:r>
                          <m:r>
                            <w:rPr>
                              <w:rFonts w:ascii="Cambria Math" w:hAnsi="Cambria Math"/>
                            </w:rPr>
                            <m:t>,</m:t>
                          </m:r>
                          <m:r>
                            <w:rPr>
                              <w:rFonts w:ascii="Cambria Math" w:hAnsi="Cambria Math"/>
                            </w:rPr>
                            <m:t>a</m:t>
                          </m:r>
                        </m:sub>
                      </m:sSub>
                    </m:e>
                  </m:d>
                </m:e>
              </m:nary>
            </m:num>
            <m:den>
              <m:nary>
                <m:naryPr>
                  <m:chr m:val="∑"/>
                  <m:limLoc m:val="undOvr"/>
                  <m:ctrlPr>
                    <w:rPr>
                      <w:rFonts w:ascii="Cambria Math" w:hAnsi="Cambria Math"/>
                    </w:rPr>
                  </m:ctrlPr>
                </m:naryPr>
                <m:sub>
                  <m:r>
                    <w:rPr>
                      <w:rFonts w:ascii="Cambria Math" w:hAnsi="Cambria Math"/>
                    </w:rPr>
                    <m:t>a</m:t>
                  </m:r>
                  <m:r>
                    <w:rPr>
                      <w:rFonts w:ascii="Cambria Math" w:hAnsi="Cambria Math"/>
                    </w:rPr>
                    <m:t>=</m:t>
                  </m:r>
                  <m:r>
                    <w:rPr>
                      <w:rFonts w:ascii="Cambria Math" w:hAnsi="Cambria Math"/>
                    </w:rPr>
                    <m:t>MinAge</m:t>
                  </m:r>
                </m:sub>
                <m:sup>
                  <m:r>
                    <w:rPr>
                      <w:rFonts w:ascii="Cambria Math" w:hAnsi="Cambria Math"/>
                    </w:rPr>
                    <m:t>MaxAge</m:t>
                  </m:r>
                </m:sup>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f</m:t>
                          </m:r>
                          <m:r>
                            <w:rPr>
                              <w:rFonts w:ascii="Cambria Math" w:hAnsi="Cambria Math"/>
                            </w:rPr>
                            <m:t>=1</m:t>
                          </m:r>
                        </m:sub>
                        <m:sup>
                          <m:r>
                            <w:rPr>
                              <w:rFonts w:ascii="Cambria Math" w:hAnsi="Cambria Math"/>
                            </w:rPr>
                            <m:t>NumFis</m:t>
                          </m:r>
                          <m:r>
                            <w:rPr>
                              <w:rFonts w:ascii="Cambria Math" w:hAnsi="Cambria Math"/>
                            </w:rPr>
                            <m:t>h</m:t>
                          </m:r>
                        </m:sup>
                        <m:e>
                          <m:r>
                            <w:rPr>
                              <w:rFonts w:ascii="Cambria Math" w:hAnsi="Cambria Math"/>
                            </w:rPr>
                            <m:t>T</m:t>
                          </m:r>
                        </m:e>
                      </m:nary>
                      <m:r>
                        <w:rPr>
                          <w:rFonts w:ascii="Cambria Math" w:hAnsi="Cambria Math"/>
                        </w:rPr>
                        <m:t>otMor</m:t>
                      </m:r>
                      <m:sSub>
                        <m:sSubPr>
                          <m:ctrlPr>
                            <w:rPr>
                              <w:rFonts w:ascii="Cambria Math" w:hAnsi="Cambria Math"/>
                            </w:rPr>
                          </m:ctrlPr>
                        </m:sSubPr>
                        <m:e>
                          <m:r>
                            <w:rPr>
                              <w:rFonts w:ascii="Cambria Math" w:hAnsi="Cambria Math"/>
                            </w:rPr>
                            <m:t>t</m:t>
                          </m:r>
                        </m:e>
                        <m:sub>
                          <m:r>
                            <w:rPr>
                              <w:rFonts w:ascii="Cambria Math" w:hAnsi="Cambria Math"/>
                            </w:rPr>
                            <m:t>cy</m:t>
                          </m:r>
                          <m:r>
                            <w:rPr>
                              <w:rFonts w:ascii="Cambria Math" w:hAnsi="Cambria Math"/>
                            </w:rPr>
                            <m:t>,</m:t>
                          </m:r>
                          <m:r>
                            <w:rPr>
                              <w:rFonts w:ascii="Cambria Math" w:hAnsi="Cambria Math"/>
                            </w:rPr>
                            <m:t>s</m:t>
                          </m:r>
                          <m:r>
                            <w:rPr>
                              <w:rFonts w:ascii="Cambria Math" w:hAnsi="Cambria Math"/>
                            </w:rPr>
                            <m:t>,</m:t>
                          </m:r>
                          <m:r>
                            <w:rPr>
                              <w:rFonts w:ascii="Cambria Math" w:hAnsi="Cambria Math"/>
                            </w:rPr>
                            <m:t>a</m:t>
                          </m:r>
                          <m:r>
                            <w:rPr>
                              <w:rFonts w:ascii="Cambria Math" w:hAnsi="Cambria Math"/>
                            </w:rPr>
                            <m:t>,</m:t>
                          </m:r>
                          <m:r>
                            <w:rPr>
                              <w:rFonts w:ascii="Cambria Math" w:hAnsi="Cambria Math"/>
                            </w:rPr>
                            <m:t>f</m:t>
                          </m:r>
                        </m:sub>
                      </m:sSub>
                      <m:r>
                        <w:rPr>
                          <w:rFonts w:ascii="Cambria Math" w:hAnsi="Cambria Math"/>
                        </w:rPr>
                        <m:t>*</m:t>
                      </m:r>
                      <m:r>
                        <w:rPr>
                          <w:rFonts w:ascii="Cambria Math" w:hAnsi="Cambria Math"/>
                        </w:rPr>
                        <m:t>AE</m:t>
                      </m:r>
                      <m:sSub>
                        <m:sSubPr>
                          <m:ctrlPr>
                            <w:rPr>
                              <w:rFonts w:ascii="Cambria Math" w:hAnsi="Cambria Math"/>
                            </w:rPr>
                          </m:ctrlPr>
                        </m:sSubPr>
                        <m:e>
                          <m:r>
                            <w:rPr>
                              <w:rFonts w:ascii="Cambria Math" w:hAnsi="Cambria Math"/>
                            </w:rPr>
                            <m:t>Q</m:t>
                          </m:r>
                        </m:e>
                        <m:sub>
                          <m:r>
                            <w:rPr>
                              <w:rFonts w:ascii="Cambria Math" w:hAnsi="Cambria Math"/>
                            </w:rPr>
                            <m:t>s</m:t>
                          </m:r>
                          <m:r>
                            <w:rPr>
                              <w:rFonts w:ascii="Cambria Math" w:hAnsi="Cambria Math"/>
                            </w:rPr>
                            <m:t>,</m:t>
                          </m:r>
                          <m:r>
                            <w:rPr>
                              <w:rFonts w:ascii="Cambria Math" w:hAnsi="Cambria Math"/>
                            </w:rPr>
                            <m:t>a</m:t>
                          </m:r>
                        </m:sub>
                      </m:sSub>
                    </m:e>
                  </m:d>
                </m:e>
              </m:nary>
              <m:r>
                <w:rPr>
                  <w:rFonts w:ascii="Cambria Math" w:hAnsi="Cambria Math"/>
                </w:rPr>
                <m:t>+</m:t>
              </m:r>
              <m:r>
                <w:rPr>
                  <w:rFonts w:ascii="Cambria Math" w:hAnsi="Cambria Math"/>
                </w:rPr>
                <m:t>Es</m:t>
              </m:r>
              <m:sSub>
                <m:sSubPr>
                  <m:ctrlPr>
                    <w:rPr>
                      <w:rFonts w:ascii="Cambria Math" w:hAnsi="Cambria Math"/>
                    </w:rPr>
                  </m:ctrlPr>
                </m:sSubPr>
                <m:e>
                  <m:r>
                    <w:rPr>
                      <w:rFonts w:ascii="Cambria Math" w:hAnsi="Cambria Math"/>
                    </w:rPr>
                    <m:t>c</m:t>
                  </m:r>
                </m:e>
                <m:sub>
                  <m:r>
                    <w:rPr>
                      <w:rFonts w:ascii="Cambria Math" w:hAnsi="Cambria Math"/>
                    </w:rPr>
                    <m:t>cy</m:t>
                  </m:r>
                  <m:r>
                    <w:rPr>
                      <w:rFonts w:ascii="Cambria Math" w:hAnsi="Cambria Math"/>
                    </w:rPr>
                    <m:t>,</m:t>
                  </m:r>
                  <m:r>
                    <w:rPr>
                      <w:rFonts w:ascii="Cambria Math" w:hAnsi="Cambria Math"/>
                    </w:rPr>
                    <m:t>s</m:t>
                  </m:r>
                  <m:r>
                    <w:rPr>
                      <w:rFonts w:ascii="Cambria Math" w:hAnsi="Cambria Math"/>
                    </w:rPr>
                    <m:t>,</m:t>
                  </m:r>
                  <m:r>
                    <w:rPr>
                      <w:rFonts w:ascii="Cambria Math" w:hAnsi="Cambria Math"/>
                    </w:rPr>
                    <m:t>a</m:t>
                  </m:r>
                </m:sub>
              </m:sSub>
            </m:den>
          </m:f>
        </m:oMath>
      </m:oMathPara>
    </w:p>
    <w:p w:rsidR="00B3614E" w:rsidRDefault="007248CA">
      <w:pPr>
        <w:pStyle w:val="FirstParagraph"/>
      </w:pPr>
      <w:r>
        <w:t>Where,</w:t>
      </w:r>
      <w:r>
        <w:br/>
        <w:t>  ER = exploitation rate</w:t>
      </w:r>
      <w:r>
        <w:br/>
      </w:r>
      <w:r>
        <w:lastRenderedPageBreak/>
        <w:t>  cy = calendar year</w:t>
      </w:r>
      <w:r>
        <w:br/>
        <w:t>  s = stock</w:t>
      </w:r>
      <w:r>
        <w:br/>
        <w:t>  F = ocean (pre-terminal) fisheries</w:t>
      </w:r>
      <w:r>
        <w:br/>
        <w:t>  a = age</w:t>
      </w:r>
      <w:r>
        <w:br/>
        <w:t>  MinAge = 2</w:t>
      </w:r>
      <w:r>
        <w:br/>
        <w:t>  MaxAg</w:t>
      </w:r>
      <w:r>
        <w:t>e = 5</w:t>
      </w:r>
      <w:r>
        <w:br/>
        <w:t>  f = fishery</w:t>
      </w:r>
      <w:r>
        <w:br/>
        <w:t>  TotMort = total (landed plus non-landed) fishing mortality</w:t>
      </w:r>
      <w:r>
        <w:br/>
        <w:t>  AEQ = adult equivalency values (proportion of fish that would have survived to maturity and escaped to spawn in the absence of fishing)</w:t>
      </w:r>
      <w:r>
        <w:br/>
        <w:t>  Esc = escapement</w:t>
      </w:r>
    </w:p>
    <w:p w:rsidR="00B3614E" w:rsidRDefault="007248CA">
      <w:pPr>
        <w:pStyle w:val="BodyText"/>
      </w:pPr>
      <w:r>
        <w:t>Ocean exploitation</w:t>
      </w:r>
      <w:r>
        <w:t xml:space="preserve"> rates for a given stock/year are calculated by summing the percentage distributions across all AABM and ISBM fisheries (terminal fisheries are excluded). It is important to note that, as the ERA is conducted using CWT tag codes with marked releases, these</w:t>
      </w:r>
      <w:r>
        <w:t xml:space="preserve"> are estimates of exploitation rates experienced by the marked component of each stock. For stocks that are not subjected to significant mark-selective fisheries, the difference in exploitation rates between the unmarked and marked components of the stock </w:t>
      </w:r>
      <w:r>
        <w:t>would be expected to me minimal. It is possible, however, that even in the absence of exposure to mark-selective fisheries, there could be differences in marked and unmarked exploitation rates on a stock due to differences in age composition between the tw</w:t>
      </w:r>
      <w:r>
        <w:t>o groups. The CTC is currently in the process of incorporating MSF algorithms into the ERA.</w:t>
      </w:r>
    </w:p>
    <w:p w:rsidR="00B3614E" w:rsidRDefault="007248CA">
      <w:pPr>
        <w:pStyle w:val="Heading4"/>
      </w:pPr>
      <w:bookmarkStart w:id="8" w:name="fram"/>
      <w:bookmarkEnd w:id="8"/>
      <w:r>
        <w:t>FRAM</w:t>
      </w:r>
    </w:p>
    <w:p w:rsidR="00B3614E" w:rsidRDefault="007248CA">
      <w:pPr>
        <w:pStyle w:val="FirstParagraph"/>
      </w:pPr>
      <w:r>
        <w:t>FRAM exploitation rates were based on postseason validation runs conducted in June 2021, which used the latest version of the Chinook FRAM base period calibrat</w:t>
      </w:r>
      <w:r>
        <w:t>ion, referred to as 'round 7.1'. Unlike the ERA, FRAM does accommodate for differential impacts on the marked and unmarked components of a stock when exposed to MSFs, thus, in order to ensure comparability with exploitation rates from the ERA, FRAM exploit</w:t>
      </w:r>
      <w:r>
        <w:t>ation rates presented in this document are derived using the marked component of each stock. For this analysis only preterminal (ocean) exploitation rates were evaluated, as FRAM does not account for terminal or freshwater fishery impacts for most stocks t</w:t>
      </w:r>
      <w:r>
        <w:t>hat originate outside of Puget Sound. FRAM exploitation rates for a subset of fisheries (F), are calculated for a given catch year (cy) and stock (s), as:</w:t>
      </w:r>
    </w:p>
    <w:p w:rsidR="00B3614E" w:rsidRDefault="007248CA">
      <w:pPr>
        <w:pStyle w:val="BodyText"/>
      </w:pPr>
      <m:oMathPara>
        <m:oMathParaPr>
          <m:jc m:val="center"/>
        </m:oMathParaPr>
        <m:oMath>
          <m: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cy</m:t>
              </m:r>
              <m:r>
                <w:rPr>
                  <w:rFonts w:ascii="Cambria Math" w:hAnsi="Cambria Math"/>
                </w:rPr>
                <m:t>,</m:t>
              </m:r>
              <m:r>
                <w:rPr>
                  <w:rFonts w:ascii="Cambria Math" w:hAnsi="Cambria Math"/>
                </w:rPr>
                <m:t>s</m:t>
              </m:r>
              <m:r>
                <w:rPr>
                  <w:rFonts w:ascii="Cambria Math" w:hAnsi="Cambria Math"/>
                </w:rPr>
                <m:t>,</m:t>
              </m:r>
              <m:r>
                <w:rPr>
                  <w:rFonts w:ascii="Cambria Math" w:hAnsi="Cambria Math"/>
                </w:rPr>
                <m:t>F</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w:rPr>
                      <w:rFonts w:ascii="Cambria Math" w:hAnsi="Cambria Math"/>
                    </w:rPr>
                    <m:t>=1</m:t>
                  </m:r>
                </m:sub>
                <m:sup>
                  <m:r>
                    <w:rPr>
                      <w:rFonts w:ascii="Cambria Math" w:hAnsi="Cambria Math"/>
                    </w:rPr>
                    <m:t>3</m:t>
                  </m:r>
                </m:sup>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a</m:t>
                          </m:r>
                          <m:r>
                            <w:rPr>
                              <w:rFonts w:ascii="Cambria Math" w:hAnsi="Cambria Math"/>
                            </w:rPr>
                            <m:t>=</m:t>
                          </m:r>
                          <m:r>
                            <w:rPr>
                              <w:rFonts w:ascii="Cambria Math" w:hAnsi="Cambria Math"/>
                            </w:rPr>
                            <m:t>MinAge</m:t>
                          </m:r>
                        </m:sub>
                        <m:sup>
                          <m:r>
                            <w:rPr>
                              <w:rFonts w:ascii="Cambria Math" w:hAnsi="Cambria Math"/>
                            </w:rPr>
                            <m:t>MaxAge</m:t>
                          </m:r>
                        </m:sup>
                        <m:e>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f</m:t>
                                  </m:r>
                                  <m:r>
                                    <w:rPr>
                                      <w:rFonts w:ascii="Cambria Math" w:hAnsi="Cambria Math"/>
                                    </w:rPr>
                                    <m:t>∈</m:t>
                                  </m:r>
                                  <m:r>
                                    <w:rPr>
                                      <w:rFonts w:ascii="Cambria Math" w:hAnsi="Cambria Math"/>
                                    </w:rPr>
                                    <m:t>F</m:t>
                                  </m:r>
                                </m:sub>
                                <m:sup/>
                                <m:e>
                                  <m:r>
                                    <w:rPr>
                                      <w:rFonts w:ascii="Cambria Math" w:hAnsi="Cambria Math"/>
                                    </w:rPr>
                                    <m:t>T</m:t>
                                  </m:r>
                                </m:e>
                              </m:nary>
                              <m:r>
                                <w:rPr>
                                  <w:rFonts w:ascii="Cambria Math" w:hAnsi="Cambria Math"/>
                                </w:rPr>
                                <m:t>otMor</m:t>
                              </m:r>
                              <m:sSub>
                                <m:sSubPr>
                                  <m:ctrlPr>
                                    <w:rPr>
                                      <w:rFonts w:ascii="Cambria Math" w:hAnsi="Cambria Math"/>
                                    </w:rPr>
                                  </m:ctrlPr>
                                </m:sSubPr>
                                <m:e>
                                  <m:r>
                                    <w:rPr>
                                      <w:rFonts w:ascii="Cambria Math" w:hAnsi="Cambria Math"/>
                                    </w:rPr>
                                    <m:t>t</m:t>
                                  </m:r>
                                </m:e>
                                <m:sub>
                                  <m:r>
                                    <w:rPr>
                                      <w:rFonts w:ascii="Cambria Math" w:hAnsi="Cambria Math"/>
                                    </w:rPr>
                                    <m:t>cy</m:t>
                                  </m:r>
                                  <m:r>
                                    <w:rPr>
                                      <w:rFonts w:ascii="Cambria Math" w:hAnsi="Cambria Math"/>
                                    </w:rPr>
                                    <m:t>,</m:t>
                                  </m:r>
                                  <m:r>
                                    <w:rPr>
                                      <w:rFonts w:ascii="Cambria Math" w:hAnsi="Cambria Math"/>
                                    </w:rPr>
                                    <m:t>s</m:t>
                                  </m:r>
                                  <m:r>
                                    <w:rPr>
                                      <w:rFonts w:ascii="Cambria Math" w:hAnsi="Cambria Math"/>
                                    </w:rPr>
                                    <m:t>,</m:t>
                                  </m:r>
                                  <m:r>
                                    <w:rPr>
                                      <w:rFonts w:ascii="Cambria Math" w:hAnsi="Cambria Math"/>
                                    </w:rPr>
                                    <m:t>a</m:t>
                                  </m:r>
                                  <m:r>
                                    <w:rPr>
                                      <w:rFonts w:ascii="Cambria Math" w:hAnsi="Cambria Math"/>
                                    </w:rPr>
                                    <m:t>,</m:t>
                                  </m:r>
                                  <m:r>
                                    <w:rPr>
                                      <w:rFonts w:ascii="Cambria Math" w:hAnsi="Cambria Math"/>
                                    </w:rPr>
                                    <m:t>f</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AE</m:t>
                              </m:r>
                              <m:sSub>
                                <m:sSubPr>
                                  <m:ctrlPr>
                                    <w:rPr>
                                      <w:rFonts w:ascii="Cambria Math" w:hAnsi="Cambria Math"/>
                                    </w:rPr>
                                  </m:ctrlPr>
                                </m:sSubPr>
                                <m:e>
                                  <m:r>
                                    <w:rPr>
                                      <w:rFonts w:ascii="Cambria Math" w:hAnsi="Cambria Math"/>
                                    </w:rPr>
                                    <m:t>Q</m:t>
                                  </m:r>
                                </m:e>
                                <m:sub>
                                  <m:r>
                                    <w:rPr>
                                      <w:rFonts w:ascii="Cambria Math" w:hAnsi="Cambria Math"/>
                                    </w:rPr>
                                    <m:t>s</m:t>
                                  </m:r>
                                  <m:r>
                                    <w:rPr>
                                      <w:rFonts w:ascii="Cambria Math" w:hAnsi="Cambria Math"/>
                                    </w:rPr>
                                    <m:t>,</m:t>
                                  </m:r>
                                  <m:r>
                                    <w:rPr>
                                      <w:rFonts w:ascii="Cambria Math" w:hAnsi="Cambria Math"/>
                                    </w:rPr>
                                    <m:t>a</m:t>
                                  </m:r>
                                  <m:r>
                                    <w:rPr>
                                      <w:rFonts w:ascii="Cambria Math" w:hAnsi="Cambria Math"/>
                                    </w:rPr>
                                    <m:t>,</m:t>
                                  </m:r>
                                  <m:r>
                                    <w:rPr>
                                      <w:rFonts w:ascii="Cambria Math" w:hAnsi="Cambria Math"/>
                                    </w:rPr>
                                    <m:t>t</m:t>
                                  </m:r>
                                </m:sub>
                              </m:sSub>
                            </m:e>
                          </m:d>
                        </m:e>
                      </m:nary>
                    </m:e>
                  </m:d>
                </m:e>
              </m:nary>
            </m:num>
            <m:den>
              <m:nary>
                <m:naryPr>
                  <m:chr m:val="∑"/>
                  <m:limLoc m:val="undOvr"/>
                  <m:ctrlPr>
                    <w:rPr>
                      <w:rFonts w:ascii="Cambria Math" w:hAnsi="Cambria Math"/>
                    </w:rPr>
                  </m:ctrlPr>
                </m:naryPr>
                <m:sub>
                  <m:r>
                    <w:rPr>
                      <w:rFonts w:ascii="Cambria Math" w:hAnsi="Cambria Math"/>
                    </w:rPr>
                    <m:t>t</m:t>
                  </m:r>
                  <m:r>
                    <w:rPr>
                      <w:rFonts w:ascii="Cambria Math" w:hAnsi="Cambria Math"/>
                    </w:rPr>
                    <m:t>=1</m:t>
                  </m:r>
                </m:sub>
                <m:sup>
                  <m:r>
                    <w:rPr>
                      <w:rFonts w:ascii="Cambria Math" w:hAnsi="Cambria Math"/>
                    </w:rPr>
                    <m:t>3</m:t>
                  </m:r>
                </m:sup>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a</m:t>
                          </m:r>
                          <m:r>
                            <w:rPr>
                              <w:rFonts w:ascii="Cambria Math" w:hAnsi="Cambria Math"/>
                            </w:rPr>
                            <m:t>=</m:t>
                          </m:r>
                          <m:r>
                            <w:rPr>
                              <w:rFonts w:ascii="Cambria Math" w:hAnsi="Cambria Math"/>
                            </w:rPr>
                            <m:t>MinAge</m:t>
                          </m:r>
                        </m:sub>
                        <m:sup>
                          <m:r>
                            <w:rPr>
                              <w:rFonts w:ascii="Cambria Math" w:hAnsi="Cambria Math"/>
                            </w:rPr>
                            <m:t>MaxAge</m:t>
                          </m:r>
                        </m:sup>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f</m:t>
                                  </m:r>
                                  <m:r>
                                    <w:rPr>
                                      <w:rFonts w:ascii="Cambria Math" w:hAnsi="Cambria Math"/>
                                    </w:rPr>
                                    <m:t>=1</m:t>
                                  </m:r>
                                </m:sub>
                                <m:sup>
                                  <m:r>
                                    <w:rPr>
                                      <w:rFonts w:ascii="Cambria Math" w:hAnsi="Cambria Math"/>
                                    </w:rPr>
                                    <m:t>NumFis</m:t>
                                  </m:r>
                                  <m:r>
                                    <w:rPr>
                                      <w:rFonts w:ascii="Cambria Math" w:hAnsi="Cambria Math"/>
                                    </w:rPr>
                                    <m:t>h</m:t>
                                  </m:r>
                                </m:sup>
                                <m:e>
                                  <m:r>
                                    <w:rPr>
                                      <w:rFonts w:ascii="Cambria Math" w:hAnsi="Cambria Math"/>
                                    </w:rPr>
                                    <m:t>T</m:t>
                                  </m:r>
                                </m:e>
                              </m:nary>
                              <m:r>
                                <w:rPr>
                                  <w:rFonts w:ascii="Cambria Math" w:hAnsi="Cambria Math"/>
                                </w:rPr>
                                <m:t>otMor</m:t>
                              </m:r>
                              <m:sSub>
                                <m:sSubPr>
                                  <m:ctrlPr>
                                    <w:rPr>
                                      <w:rFonts w:ascii="Cambria Math" w:hAnsi="Cambria Math"/>
                                    </w:rPr>
                                  </m:ctrlPr>
                                </m:sSubPr>
                                <m:e>
                                  <m:r>
                                    <w:rPr>
                                      <w:rFonts w:ascii="Cambria Math" w:hAnsi="Cambria Math"/>
                                    </w:rPr>
                                    <m:t>t</m:t>
                                  </m:r>
                                </m:e>
                                <m:sub>
                                  <m:r>
                                    <w:rPr>
                                      <w:rFonts w:ascii="Cambria Math" w:hAnsi="Cambria Math"/>
                                    </w:rPr>
                                    <m:t>cy</m:t>
                                  </m:r>
                                  <m:r>
                                    <w:rPr>
                                      <w:rFonts w:ascii="Cambria Math" w:hAnsi="Cambria Math"/>
                                    </w:rPr>
                                    <m:t>,</m:t>
                                  </m:r>
                                  <m:r>
                                    <w:rPr>
                                      <w:rFonts w:ascii="Cambria Math" w:hAnsi="Cambria Math"/>
                                    </w:rPr>
                                    <m:t>s</m:t>
                                  </m:r>
                                  <m:r>
                                    <w:rPr>
                                      <w:rFonts w:ascii="Cambria Math" w:hAnsi="Cambria Math"/>
                                    </w:rPr>
                                    <m:t>,</m:t>
                                  </m:r>
                                  <m:r>
                                    <w:rPr>
                                      <w:rFonts w:ascii="Cambria Math" w:hAnsi="Cambria Math"/>
                                    </w:rPr>
                                    <m:t>a</m:t>
                                  </m:r>
                                  <m:r>
                                    <w:rPr>
                                      <w:rFonts w:ascii="Cambria Math" w:hAnsi="Cambria Math"/>
                                    </w:rPr>
                                    <m:t>,</m:t>
                                  </m:r>
                                  <m:r>
                                    <w:rPr>
                                      <w:rFonts w:ascii="Cambria Math" w:hAnsi="Cambria Math"/>
                                    </w:rPr>
                                    <m:t>f</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AE</m:t>
                              </m:r>
                              <m:sSub>
                                <m:sSubPr>
                                  <m:ctrlPr>
                                    <w:rPr>
                                      <w:rFonts w:ascii="Cambria Math" w:hAnsi="Cambria Math"/>
                                    </w:rPr>
                                  </m:ctrlPr>
                                </m:sSubPr>
                                <m:e>
                                  <m:r>
                                    <w:rPr>
                                      <w:rFonts w:ascii="Cambria Math" w:hAnsi="Cambria Math"/>
                                    </w:rPr>
                                    <m:t>Q</m:t>
                                  </m:r>
                                </m:e>
                                <m:sub>
                                  <m:r>
                                    <w:rPr>
                                      <w:rFonts w:ascii="Cambria Math" w:hAnsi="Cambria Math"/>
                                    </w:rPr>
                                    <m:t>s</m:t>
                                  </m:r>
                                  <m:r>
                                    <w:rPr>
                                      <w:rFonts w:ascii="Cambria Math" w:hAnsi="Cambria Math"/>
                                    </w:rPr>
                                    <m:t>,</m:t>
                                  </m:r>
                                  <m:r>
                                    <w:rPr>
                                      <w:rFonts w:ascii="Cambria Math" w:hAnsi="Cambria Math"/>
                                    </w:rPr>
                                    <m:t>a</m:t>
                                  </m:r>
                                  <m:r>
                                    <w:rPr>
                                      <w:rFonts w:ascii="Cambria Math" w:hAnsi="Cambria Math"/>
                                    </w:rPr>
                                    <m:t>,</m:t>
                                  </m:r>
                                  <m:r>
                                    <w:rPr>
                                      <w:rFonts w:ascii="Cambria Math" w:hAnsi="Cambria Math"/>
                                    </w:rPr>
                                    <m:t>t</m:t>
                                  </m:r>
                                </m:sub>
                              </m:sSub>
                            </m:e>
                          </m:d>
                        </m:e>
                      </m:nary>
                      <m:r>
                        <w:rPr>
                          <w:rFonts w:ascii="Cambria Math" w:hAnsi="Cambria Math"/>
                        </w:rPr>
                        <m:t>+</m:t>
                      </m:r>
                      <m:r>
                        <w:rPr>
                          <w:rFonts w:ascii="Cambria Math" w:hAnsi="Cambria Math"/>
                        </w:rPr>
                        <m:t>Es</m:t>
                      </m:r>
                      <m:sSub>
                        <m:sSubPr>
                          <m:ctrlPr>
                            <w:rPr>
                              <w:rFonts w:ascii="Cambria Math" w:hAnsi="Cambria Math"/>
                            </w:rPr>
                          </m:ctrlPr>
                        </m:sSubPr>
                        <m:e>
                          <m:r>
                            <w:rPr>
                              <w:rFonts w:ascii="Cambria Math" w:hAnsi="Cambria Math"/>
                            </w:rPr>
                            <m:t>c</m:t>
                          </m:r>
                        </m:e>
                        <m:sub>
                          <m:r>
                            <w:rPr>
                              <w:rFonts w:ascii="Cambria Math" w:hAnsi="Cambria Math"/>
                            </w:rPr>
                            <m:t>cy</m:t>
                          </m:r>
                          <m:r>
                            <w:rPr>
                              <w:rFonts w:ascii="Cambria Math" w:hAnsi="Cambria Math"/>
                            </w:rPr>
                            <m:t>,</m:t>
                          </m:r>
                          <m:r>
                            <w:rPr>
                              <w:rFonts w:ascii="Cambria Math" w:hAnsi="Cambria Math"/>
                            </w:rPr>
                            <m:t>s</m:t>
                          </m:r>
                          <m:r>
                            <w:rPr>
                              <w:rFonts w:ascii="Cambria Math" w:hAnsi="Cambria Math"/>
                            </w:rPr>
                            <m:t>,</m:t>
                          </m:r>
                          <m:r>
                            <w:rPr>
                              <w:rFonts w:ascii="Cambria Math" w:hAnsi="Cambria Math"/>
                            </w:rPr>
                            <m:t>a</m:t>
                          </m:r>
                          <m:r>
                            <w:rPr>
                              <w:rFonts w:ascii="Cambria Math" w:hAnsi="Cambria Math"/>
                            </w:rPr>
                            <m:t>,</m:t>
                          </m:r>
                          <m:r>
                            <w:rPr>
                              <w:rFonts w:ascii="Cambria Math" w:hAnsi="Cambria Math"/>
                            </w:rPr>
                            <m:t>t</m:t>
                          </m:r>
                        </m:sub>
                      </m:sSub>
                    </m:e>
                  </m:d>
                </m:e>
              </m:nary>
            </m:den>
          </m:f>
        </m:oMath>
      </m:oMathPara>
    </w:p>
    <w:p w:rsidR="00B3614E" w:rsidRDefault="007248CA">
      <w:pPr>
        <w:pStyle w:val="FirstParagraph"/>
      </w:pPr>
      <w:r>
        <w:t>Where,</w:t>
      </w:r>
      <w:r>
        <w:br/>
        <w:t>  t = time step</w:t>
      </w:r>
    </w:p>
    <w:p w:rsidR="00B3614E" w:rsidRDefault="007248CA">
      <w:pPr>
        <w:pStyle w:val="BodyText"/>
      </w:pPr>
      <w:r>
        <w:t>Please note that the FRAM exploitation rates presented in this assessment will differ from those that may be reported in o</w:t>
      </w:r>
      <w:r>
        <w:t>ther forums in an effort to produce rates that are comparable to those produced by the ERA. These difference are primarily due to:</w:t>
      </w:r>
      <w:r>
        <w:br/>
        <w:t xml:space="preserve">  1. Use of the "marked" stock component rather than the "unmarked" stock component, which is often used to estimate impacts </w:t>
      </w:r>
      <w:r>
        <w:t>on natural origin stocks.</w:t>
      </w:r>
      <w:r>
        <w:br/>
      </w:r>
      <w:r>
        <w:lastRenderedPageBreak/>
        <w:t>  2. Inclusion of age 2 fish in escapement and the resulting abundance which serves as the denominator of the exploitation rate equation. Typically FRAM derived exploitation rates do not include age 2 fish in escapement.</w:t>
      </w:r>
      <w:r>
        <w:br/>
        <w:t>  3. Summ</w:t>
      </w:r>
      <w:r>
        <w:t>ation of annual impacts across FRAM time steps 1 through 3 (October through September), rather than time steps 2 through 4 (May through April), which is typically the practice when assessing Puget Sound stock impacts.</w:t>
      </w:r>
    </w:p>
    <w:p w:rsidR="00B3614E" w:rsidRDefault="007248CA">
      <w:pPr>
        <w:pStyle w:val="Heading3"/>
      </w:pPr>
      <w:bookmarkStart w:id="9" w:name="maturation-rates"/>
      <w:bookmarkEnd w:id="9"/>
      <w:r>
        <w:t>Maturation Rates</w:t>
      </w:r>
    </w:p>
    <w:p w:rsidR="00B3614E" w:rsidRDefault="007248CA">
      <w:pPr>
        <w:pStyle w:val="FirstParagraph"/>
      </w:pPr>
      <w:r>
        <w:t xml:space="preserve">Maturation rates are </w:t>
      </w:r>
      <w:r>
        <w:t>calculated similarly in both the ERA and FRAM base period cohort analyses as the mature portion of the total cohort after preterminal fishing, or:</w:t>
      </w:r>
    </w:p>
    <w:p w:rsidR="00B3614E" w:rsidRDefault="007248CA">
      <w:pPr>
        <w:pStyle w:val="BodyText"/>
      </w:pPr>
      <m:oMathPara>
        <m:oMathParaPr>
          <m:jc m:val="center"/>
        </m:oMathParaPr>
        <m:oMath>
          <m:r>
            <w:rPr>
              <w:rFonts w:ascii="Cambria Math" w:hAnsi="Cambria Math"/>
            </w:rPr>
            <m:t>MatRat</m:t>
          </m:r>
          <m:sSub>
            <m:sSubPr>
              <m:ctrlPr>
                <w:rPr>
                  <w:rFonts w:ascii="Cambria Math" w:hAnsi="Cambria Math"/>
                </w:rPr>
              </m:ctrlPr>
            </m:sSubPr>
            <m:e>
              <m:r>
                <w:rPr>
                  <w:rFonts w:ascii="Cambria Math" w:hAnsi="Cambria Math"/>
                </w:rPr>
                <m:t>e</m:t>
              </m:r>
            </m:e>
            <m:sub>
              <m:r>
                <w:rPr>
                  <w:rFonts w:ascii="Cambria Math" w:hAnsi="Cambria Math"/>
                </w:rPr>
                <m:t>by</m:t>
              </m:r>
              <m:r>
                <w:rPr>
                  <w:rFonts w:ascii="Cambria Math" w:hAnsi="Cambria Math"/>
                </w:rPr>
                <m:t>,</m:t>
              </m:r>
              <m:r>
                <w:rPr>
                  <w:rFonts w:ascii="Cambria Math" w:hAnsi="Cambria Math"/>
                </w:rPr>
                <m:t>a</m:t>
              </m:r>
            </m:sub>
          </m:sSub>
          <m:r>
            <w:rPr>
              <w:rFonts w:ascii="Cambria Math" w:hAnsi="Cambria Math"/>
            </w:rPr>
            <m:t>=</m:t>
          </m:r>
          <m:f>
            <m:fPr>
              <m:ctrlPr>
                <w:rPr>
                  <w:rFonts w:ascii="Cambria Math" w:hAnsi="Cambria Math"/>
                </w:rPr>
              </m:ctrlPr>
            </m:fPr>
            <m:num>
              <m:r>
                <w:rPr>
                  <w:rFonts w:ascii="Cambria Math" w:hAnsi="Cambria Math"/>
                </w:rPr>
                <m:t>TermMor</m:t>
              </m:r>
              <m:sSub>
                <m:sSubPr>
                  <m:ctrlPr>
                    <w:rPr>
                      <w:rFonts w:ascii="Cambria Math" w:hAnsi="Cambria Math"/>
                    </w:rPr>
                  </m:ctrlPr>
                </m:sSubPr>
                <m:e>
                  <m:r>
                    <w:rPr>
                      <w:rFonts w:ascii="Cambria Math" w:hAnsi="Cambria Math"/>
                    </w:rPr>
                    <m:t>t</m:t>
                  </m:r>
                </m:e>
                <m:sub>
                  <m:r>
                    <w:rPr>
                      <w:rFonts w:ascii="Cambria Math" w:hAnsi="Cambria Math"/>
                    </w:rPr>
                    <m:t>by</m:t>
                  </m:r>
                  <m:r>
                    <w:rPr>
                      <w:rFonts w:ascii="Cambria Math" w:hAnsi="Cambria Math"/>
                    </w:rPr>
                    <m:t>,</m:t>
                  </m:r>
                  <m:r>
                    <w:rPr>
                      <w:rFonts w:ascii="Cambria Math" w:hAnsi="Cambria Math"/>
                    </w:rPr>
                    <m:t>a</m:t>
                  </m:r>
                </m:sub>
              </m:sSub>
              <m:r>
                <w:rPr>
                  <w:rFonts w:ascii="Cambria Math" w:hAnsi="Cambria Math"/>
                </w:rPr>
                <m:t>+</m:t>
              </m:r>
              <m:r>
                <w:rPr>
                  <w:rFonts w:ascii="Cambria Math" w:hAnsi="Cambria Math"/>
                </w:rPr>
                <m:t>Escap</m:t>
              </m:r>
              <m:sSub>
                <m:sSubPr>
                  <m:ctrlPr>
                    <w:rPr>
                      <w:rFonts w:ascii="Cambria Math" w:hAnsi="Cambria Math"/>
                    </w:rPr>
                  </m:ctrlPr>
                </m:sSubPr>
                <m:e>
                  <m:r>
                    <w:rPr>
                      <w:rFonts w:ascii="Cambria Math" w:hAnsi="Cambria Math"/>
                    </w:rPr>
                    <m:t>e</m:t>
                  </m:r>
                </m:e>
                <m:sub>
                  <m:r>
                    <w:rPr>
                      <w:rFonts w:ascii="Cambria Math" w:hAnsi="Cambria Math"/>
                    </w:rPr>
                    <m:t>by</m:t>
                  </m:r>
                  <m:r>
                    <w:rPr>
                      <w:rFonts w:ascii="Cambria Math" w:hAnsi="Cambria Math"/>
                    </w:rPr>
                    <m:t>,</m:t>
                  </m:r>
                  <m:r>
                    <w:rPr>
                      <w:rFonts w:ascii="Cambria Math" w:hAnsi="Cambria Math"/>
                    </w:rPr>
                    <m:t>a</m:t>
                  </m:r>
                </m:sub>
              </m:sSub>
            </m:num>
            <m:den>
              <m:r>
                <w:rPr>
                  <w:rFonts w:ascii="Cambria Math" w:hAnsi="Cambria Math"/>
                </w:rPr>
                <m:t>Co</m:t>
              </m:r>
              <m:r>
                <w:rPr>
                  <w:rFonts w:ascii="Cambria Math" w:hAnsi="Cambria Math"/>
                </w:rPr>
                <m:t>h</m:t>
              </m:r>
              <m:r>
                <w:rPr>
                  <w:rFonts w:ascii="Cambria Math" w:hAnsi="Cambria Math"/>
                </w:rPr>
                <m:t>or</m:t>
              </m:r>
              <m:sSub>
                <m:sSubPr>
                  <m:ctrlPr>
                    <w:rPr>
                      <w:rFonts w:ascii="Cambria Math" w:hAnsi="Cambria Math"/>
                    </w:rPr>
                  </m:ctrlPr>
                </m:sSubPr>
                <m:e>
                  <m:r>
                    <w:rPr>
                      <w:rFonts w:ascii="Cambria Math" w:hAnsi="Cambria Math"/>
                    </w:rPr>
                    <m:t>t</m:t>
                  </m:r>
                </m:e>
                <m:sub>
                  <m:r>
                    <w:rPr>
                      <w:rFonts w:ascii="Cambria Math" w:hAnsi="Cambria Math"/>
                    </w:rPr>
                    <m:t>by</m:t>
                  </m:r>
                  <m:r>
                    <w:rPr>
                      <w:rFonts w:ascii="Cambria Math" w:hAnsi="Cambria Math"/>
                    </w:rPr>
                    <m:t>,</m:t>
                  </m:r>
                  <m:r>
                    <w:rPr>
                      <w:rFonts w:ascii="Cambria Math" w:hAnsi="Cambria Math"/>
                    </w:rPr>
                    <m:t>a</m:t>
                  </m:r>
                </m:sub>
              </m:sSub>
              <m:r>
                <w:rPr>
                  <w:rFonts w:ascii="Cambria Math" w:hAnsi="Cambria Math"/>
                </w:rPr>
                <m:t>*</m:t>
              </m:r>
              <m:r>
                <w:rPr>
                  <w:rFonts w:ascii="Cambria Math" w:hAnsi="Cambria Math"/>
                </w:rPr>
                <m:t>SurvRt</m:t>
              </m:r>
              <m:sSub>
                <m:sSubPr>
                  <m:ctrlPr>
                    <w:rPr>
                      <w:rFonts w:ascii="Cambria Math" w:hAnsi="Cambria Math"/>
                    </w:rPr>
                  </m:ctrlPr>
                </m:sSubPr>
                <m:e>
                  <m:r>
                    <w:rPr>
                      <w:rFonts w:ascii="Cambria Math" w:hAnsi="Cambria Math"/>
                    </w:rPr>
                    <m:t>e</m:t>
                  </m:r>
                </m:e>
                <m:sub>
                  <m:r>
                    <w:rPr>
                      <w:rFonts w:ascii="Cambria Math" w:hAnsi="Cambria Math"/>
                    </w:rPr>
                    <m:t>a</m:t>
                  </m:r>
                </m:sub>
              </m:sSub>
              <m:r>
                <w:rPr>
                  <w:rFonts w:ascii="Cambria Math" w:hAnsi="Cambria Math"/>
                </w:rPr>
                <m:t>-</m:t>
              </m:r>
              <m:r>
                <w:rPr>
                  <w:rFonts w:ascii="Cambria Math" w:hAnsi="Cambria Math"/>
                </w:rPr>
                <m:t>PTer</m:t>
              </m:r>
              <m:r>
                <w:rPr>
                  <w:rFonts w:ascii="Cambria Math" w:hAnsi="Cambria Math"/>
                </w:rPr>
                <m:t>mMor</m:t>
              </m:r>
              <m:sSub>
                <m:sSubPr>
                  <m:ctrlPr>
                    <w:rPr>
                      <w:rFonts w:ascii="Cambria Math" w:hAnsi="Cambria Math"/>
                    </w:rPr>
                  </m:ctrlPr>
                </m:sSubPr>
                <m:e>
                  <m:r>
                    <w:rPr>
                      <w:rFonts w:ascii="Cambria Math" w:hAnsi="Cambria Math"/>
                    </w:rPr>
                    <m:t>t</m:t>
                  </m:r>
                </m:e>
                <m:sub>
                  <m:r>
                    <w:rPr>
                      <w:rFonts w:ascii="Cambria Math" w:hAnsi="Cambria Math"/>
                    </w:rPr>
                    <m:t>by</m:t>
                  </m:r>
                  <m:r>
                    <w:rPr>
                      <w:rFonts w:ascii="Cambria Math" w:hAnsi="Cambria Math"/>
                    </w:rPr>
                    <m:t>,</m:t>
                  </m:r>
                  <m:r>
                    <w:rPr>
                      <w:rFonts w:ascii="Cambria Math" w:hAnsi="Cambria Math"/>
                    </w:rPr>
                    <m:t>a</m:t>
                  </m:r>
                </m:sub>
              </m:sSub>
            </m:den>
          </m:f>
        </m:oMath>
      </m:oMathPara>
    </w:p>
    <w:p w:rsidR="00B3614E" w:rsidRDefault="007248CA">
      <w:pPr>
        <w:pStyle w:val="FirstParagraph"/>
      </w:pPr>
      <w:r>
        <w:t>A distinction is that while the ERA maturation rates are calculated on an annual basis, FRAM maturation rates are calculated separately for each Chinook FRAM time step (e.g., Oct-Apr, May-Jun, Jul-Sep). In order to provide FRAM maturation</w:t>
      </w:r>
      <w:r>
        <w:t xml:space="preserve"> rates that are comparable to then annual rates produced by the ERA, annual maturation rates were calculated from the time step-specific rates for each FRAM stock (s) and age (a) as:</w:t>
      </w:r>
    </w:p>
    <w:p w:rsidR="00B3614E" w:rsidRDefault="007248CA">
      <w:pPr>
        <w:pStyle w:val="BodyText"/>
      </w:pPr>
      <m:oMathPara>
        <m:oMathParaPr>
          <m:jc m:val="center"/>
        </m:oMathParaPr>
        <m:oMath>
          <m:r>
            <w:rPr>
              <w:rFonts w:ascii="Cambria Math" w:hAnsi="Cambria Math"/>
            </w:rPr>
            <m:t>MatRat</m:t>
          </m:r>
          <m:sSub>
            <m:sSubPr>
              <m:ctrlPr>
                <w:rPr>
                  <w:rFonts w:ascii="Cambria Math" w:hAnsi="Cambria Math"/>
                </w:rPr>
              </m:ctrlPr>
            </m:sSubPr>
            <m:e>
              <m:r>
                <w:rPr>
                  <w:rFonts w:ascii="Cambria Math" w:hAnsi="Cambria Math"/>
                </w:rPr>
                <m:t>e</m:t>
              </m:r>
            </m:e>
            <m:sub>
              <m:r>
                <w:rPr>
                  <w:rFonts w:ascii="Cambria Math" w:hAnsi="Cambria Math"/>
                </w:rPr>
                <m:t>s</m:t>
              </m:r>
              <m:r>
                <w:rPr>
                  <w:rFonts w:ascii="Cambria Math" w:hAnsi="Cambria Math"/>
                </w:rPr>
                <m:t>,</m:t>
              </m:r>
              <m:r>
                <w:rPr>
                  <w:rFonts w:ascii="Cambria Math" w:hAnsi="Cambria Math"/>
                </w:rPr>
                <m:t>a</m:t>
              </m:r>
            </m:sub>
          </m:sSub>
          <m:r>
            <w:rPr>
              <w:rFonts w:ascii="Cambria Math" w:hAnsi="Cambria Math"/>
            </w:rPr>
            <m:t>=</m:t>
          </m:r>
          <m:r>
            <w:rPr>
              <w:rFonts w:ascii="Cambria Math" w:hAnsi="Cambria Math"/>
            </w:rPr>
            <m:t>MatRat</m:t>
          </m:r>
          <m:sSub>
            <m:sSubPr>
              <m:ctrlPr>
                <w:rPr>
                  <w:rFonts w:ascii="Cambria Math" w:hAnsi="Cambria Math"/>
                </w:rPr>
              </m:ctrlPr>
            </m:sSubPr>
            <m:e>
              <m:r>
                <w:rPr>
                  <w:rFonts w:ascii="Cambria Math" w:hAnsi="Cambria Math"/>
                </w:rPr>
                <m:t>e</m:t>
              </m:r>
            </m:e>
            <m:sub>
              <m:r>
                <w:rPr>
                  <w:rFonts w:ascii="Cambria Math" w:hAnsi="Cambria Math"/>
                </w:rPr>
                <m:t>s</m:t>
              </m:r>
              <m:r>
                <w:rPr>
                  <w:rFonts w:ascii="Cambria Math" w:hAnsi="Cambria Math"/>
                </w:rPr>
                <m:t>,</m:t>
              </m:r>
              <m:r>
                <w:rPr>
                  <w:rFonts w:ascii="Cambria Math" w:hAnsi="Cambria Math"/>
                </w:rPr>
                <m:t>a</m:t>
              </m:r>
              <m:r>
                <w:rPr>
                  <w:rFonts w:ascii="Cambria Math" w:hAnsi="Cambria Math"/>
                </w:rPr>
                <m:t>,</m:t>
              </m:r>
              <m:r>
                <w:rPr>
                  <w:rFonts w:ascii="Cambria Math" w:hAnsi="Cambria Math"/>
                </w:rPr>
                <m:t>T</m:t>
              </m:r>
              <m:r>
                <w:rPr>
                  <w:rFonts w:ascii="Cambria Math" w:hAnsi="Cambria Math"/>
                </w:rPr>
                <m:t>1</m:t>
              </m:r>
            </m:sub>
          </m:sSub>
          <m:r>
            <w:rPr>
              <w:rFonts w:ascii="Cambria Math" w:hAnsi="Cambria Math"/>
            </w:rPr>
            <m:t>+</m:t>
          </m:r>
          <m:d>
            <m:dPr>
              <m:ctrlPr>
                <w:rPr>
                  <w:rFonts w:ascii="Cambria Math" w:hAnsi="Cambria Math"/>
                </w:rPr>
              </m:ctrlPr>
            </m:dPr>
            <m:e>
              <m:d>
                <m:dPr>
                  <m:ctrlPr>
                    <w:rPr>
                      <w:rFonts w:ascii="Cambria Math" w:hAnsi="Cambria Math"/>
                    </w:rPr>
                  </m:ctrlPr>
                </m:dPr>
                <m:e>
                  <m:r>
                    <w:rPr>
                      <w:rFonts w:ascii="Cambria Math" w:hAnsi="Cambria Math"/>
                    </w:rPr>
                    <m:t>1-</m:t>
                  </m:r>
                  <m:r>
                    <w:rPr>
                      <w:rFonts w:ascii="Cambria Math" w:hAnsi="Cambria Math"/>
                    </w:rPr>
                    <m:t>MatRat</m:t>
                  </m:r>
                  <m:sSub>
                    <m:sSubPr>
                      <m:ctrlPr>
                        <w:rPr>
                          <w:rFonts w:ascii="Cambria Math" w:hAnsi="Cambria Math"/>
                        </w:rPr>
                      </m:ctrlPr>
                    </m:sSubPr>
                    <m:e>
                      <m:r>
                        <w:rPr>
                          <w:rFonts w:ascii="Cambria Math" w:hAnsi="Cambria Math"/>
                        </w:rPr>
                        <m:t>e</m:t>
                      </m:r>
                    </m:e>
                    <m:sub>
                      <m:r>
                        <w:rPr>
                          <w:rFonts w:ascii="Cambria Math" w:hAnsi="Cambria Math"/>
                        </w:rPr>
                        <m:t>s</m:t>
                      </m:r>
                      <m:r>
                        <w:rPr>
                          <w:rFonts w:ascii="Cambria Math" w:hAnsi="Cambria Math"/>
                        </w:rPr>
                        <m:t>,</m:t>
                      </m:r>
                      <m:r>
                        <w:rPr>
                          <w:rFonts w:ascii="Cambria Math" w:hAnsi="Cambria Math"/>
                        </w:rPr>
                        <m:t>a</m:t>
                      </m:r>
                      <m:r>
                        <w:rPr>
                          <w:rFonts w:ascii="Cambria Math" w:hAnsi="Cambria Math"/>
                        </w:rPr>
                        <m:t>,</m:t>
                      </m:r>
                      <m:r>
                        <w:rPr>
                          <w:rFonts w:ascii="Cambria Math" w:hAnsi="Cambria Math"/>
                        </w:rPr>
                        <m:t>T</m:t>
                      </m:r>
                      <m:r>
                        <w:rPr>
                          <w:rFonts w:ascii="Cambria Math" w:hAnsi="Cambria Math"/>
                        </w:rPr>
                        <m:t>1</m:t>
                      </m:r>
                    </m:sub>
                  </m:sSub>
                </m:e>
              </m:d>
              <m:r>
                <w:rPr>
                  <w:rFonts w:ascii="Cambria Math" w:hAnsi="Cambria Math"/>
                </w:rPr>
                <m:t>*</m:t>
              </m:r>
              <m:r>
                <w:rPr>
                  <w:rFonts w:ascii="Cambria Math" w:hAnsi="Cambria Math"/>
                </w:rPr>
                <m:t>M</m:t>
              </m:r>
              <m:r>
                <w:rPr>
                  <w:rFonts w:ascii="Cambria Math" w:hAnsi="Cambria Math"/>
                </w:rPr>
                <m:t>a</m:t>
              </m:r>
              <m:r>
                <w:rPr>
                  <w:rFonts w:ascii="Cambria Math" w:hAnsi="Cambria Math"/>
                </w:rPr>
                <m:t>tRat</m:t>
              </m:r>
              <m:sSub>
                <m:sSubPr>
                  <m:ctrlPr>
                    <w:rPr>
                      <w:rFonts w:ascii="Cambria Math" w:hAnsi="Cambria Math"/>
                    </w:rPr>
                  </m:ctrlPr>
                </m:sSubPr>
                <m:e>
                  <m:r>
                    <w:rPr>
                      <w:rFonts w:ascii="Cambria Math" w:hAnsi="Cambria Math"/>
                    </w:rPr>
                    <m:t>e</m:t>
                  </m:r>
                </m:e>
                <m:sub>
                  <m:r>
                    <w:rPr>
                      <w:rFonts w:ascii="Cambria Math" w:hAnsi="Cambria Math"/>
                    </w:rPr>
                    <m:t>s</m:t>
                  </m:r>
                  <m:r>
                    <w:rPr>
                      <w:rFonts w:ascii="Cambria Math" w:hAnsi="Cambria Math"/>
                    </w:rPr>
                    <m:t>,</m:t>
                  </m:r>
                  <m:r>
                    <w:rPr>
                      <w:rFonts w:ascii="Cambria Math" w:hAnsi="Cambria Math"/>
                    </w:rPr>
                    <m:t>a</m:t>
                  </m:r>
                  <m:r>
                    <w:rPr>
                      <w:rFonts w:ascii="Cambria Math" w:hAnsi="Cambria Math"/>
                    </w:rPr>
                    <m:t>,</m:t>
                  </m:r>
                  <m:r>
                    <w:rPr>
                      <w:rFonts w:ascii="Cambria Math" w:hAnsi="Cambria Math"/>
                    </w:rPr>
                    <m:t>T</m:t>
                  </m:r>
                  <m:r>
                    <w:rPr>
                      <w:rFonts w:ascii="Cambria Math" w:hAnsi="Cambria Math"/>
                    </w:rPr>
                    <m:t>2</m:t>
                  </m:r>
                </m:sub>
              </m:sSub>
            </m:e>
          </m:d>
          <m:r>
            <w:rPr>
              <w:rFonts w:ascii="Cambria Math" w:hAnsi="Cambria Math"/>
            </w:rPr>
            <m:t>+</m:t>
          </m:r>
          <m:d>
            <m:dPr>
              <m:ctrlPr>
                <w:rPr>
                  <w:rFonts w:ascii="Cambria Math" w:hAnsi="Cambria Math"/>
                </w:rPr>
              </m:ctrlPr>
            </m:dPr>
            <m:e>
              <m:d>
                <m:dPr>
                  <m:ctrlPr>
                    <w:rPr>
                      <w:rFonts w:ascii="Cambria Math" w:hAnsi="Cambria Math"/>
                    </w:rPr>
                  </m:ctrlPr>
                </m:dPr>
                <m:e>
                  <m:r>
                    <w:rPr>
                      <w:rFonts w:ascii="Cambria Math" w:hAnsi="Cambria Math"/>
                    </w:rPr>
                    <m:t>1-</m:t>
                  </m:r>
                  <m:r>
                    <w:rPr>
                      <w:rFonts w:ascii="Cambria Math" w:hAnsi="Cambria Math"/>
                    </w:rPr>
                    <m:t>MatRat</m:t>
                  </m:r>
                  <m:sSub>
                    <m:sSubPr>
                      <m:ctrlPr>
                        <w:rPr>
                          <w:rFonts w:ascii="Cambria Math" w:hAnsi="Cambria Math"/>
                        </w:rPr>
                      </m:ctrlPr>
                    </m:sSubPr>
                    <m:e>
                      <m:r>
                        <w:rPr>
                          <w:rFonts w:ascii="Cambria Math" w:hAnsi="Cambria Math"/>
                        </w:rPr>
                        <m:t>e</m:t>
                      </m:r>
                    </m:e>
                    <m:sub>
                      <m:r>
                        <w:rPr>
                          <w:rFonts w:ascii="Cambria Math" w:hAnsi="Cambria Math"/>
                        </w:rPr>
                        <m:t>s</m:t>
                      </m:r>
                      <m:r>
                        <w:rPr>
                          <w:rFonts w:ascii="Cambria Math" w:hAnsi="Cambria Math"/>
                        </w:rPr>
                        <m:t>,</m:t>
                      </m:r>
                      <m:r>
                        <w:rPr>
                          <w:rFonts w:ascii="Cambria Math" w:hAnsi="Cambria Math"/>
                        </w:rPr>
                        <m:t>a</m:t>
                      </m:r>
                      <m:r>
                        <w:rPr>
                          <w:rFonts w:ascii="Cambria Math" w:hAnsi="Cambria Math"/>
                        </w:rPr>
                        <m:t>,</m:t>
                      </m:r>
                      <m:r>
                        <w:rPr>
                          <w:rFonts w:ascii="Cambria Math" w:hAnsi="Cambria Math"/>
                        </w:rPr>
                        <m:t>T</m:t>
                      </m:r>
                      <m:r>
                        <w:rPr>
                          <w:rFonts w:ascii="Cambria Math" w:hAnsi="Cambria Math"/>
                        </w:rPr>
                        <m:t>1</m:t>
                      </m:r>
                    </m:sub>
                  </m:sSub>
                </m:e>
              </m:d>
              <m:r>
                <w:rPr>
                  <w:rFonts w:ascii="Cambria Math" w:hAnsi="Cambria Math"/>
                </w:rPr>
                <m:t>*</m:t>
              </m:r>
              <m:d>
                <m:dPr>
                  <m:ctrlPr>
                    <w:rPr>
                      <w:rFonts w:ascii="Cambria Math" w:hAnsi="Cambria Math"/>
                    </w:rPr>
                  </m:ctrlPr>
                </m:dPr>
                <m:e>
                  <m:r>
                    <w:rPr>
                      <w:rFonts w:ascii="Cambria Math" w:hAnsi="Cambria Math"/>
                    </w:rPr>
                    <m:t>1-</m:t>
                  </m:r>
                  <m:r>
                    <w:rPr>
                      <w:rFonts w:ascii="Cambria Math" w:hAnsi="Cambria Math"/>
                    </w:rPr>
                    <m:t>MatRat</m:t>
                  </m:r>
                  <m:sSub>
                    <m:sSubPr>
                      <m:ctrlPr>
                        <w:rPr>
                          <w:rFonts w:ascii="Cambria Math" w:hAnsi="Cambria Math"/>
                        </w:rPr>
                      </m:ctrlPr>
                    </m:sSubPr>
                    <m:e>
                      <m:r>
                        <w:rPr>
                          <w:rFonts w:ascii="Cambria Math" w:hAnsi="Cambria Math"/>
                        </w:rPr>
                        <m:t>e</m:t>
                      </m:r>
                    </m:e>
                    <m:sub>
                      <m:r>
                        <w:rPr>
                          <w:rFonts w:ascii="Cambria Math" w:hAnsi="Cambria Math"/>
                        </w:rPr>
                        <m:t>s</m:t>
                      </m:r>
                      <m:r>
                        <w:rPr>
                          <w:rFonts w:ascii="Cambria Math" w:hAnsi="Cambria Math"/>
                        </w:rPr>
                        <m:t>,</m:t>
                      </m:r>
                      <m:r>
                        <w:rPr>
                          <w:rFonts w:ascii="Cambria Math" w:hAnsi="Cambria Math"/>
                        </w:rPr>
                        <m:t>a</m:t>
                      </m:r>
                      <m:r>
                        <w:rPr>
                          <w:rFonts w:ascii="Cambria Math" w:hAnsi="Cambria Math"/>
                        </w:rPr>
                        <m:t>,</m:t>
                      </m:r>
                      <m:r>
                        <w:rPr>
                          <w:rFonts w:ascii="Cambria Math" w:hAnsi="Cambria Math"/>
                        </w:rPr>
                        <m:t>T</m:t>
                      </m:r>
                      <m:r>
                        <w:rPr>
                          <w:rFonts w:ascii="Cambria Math" w:hAnsi="Cambria Math"/>
                        </w:rPr>
                        <m:t>2</m:t>
                      </m:r>
                    </m:sub>
                  </m:sSub>
                </m:e>
              </m:d>
              <m:r>
                <w:rPr>
                  <w:rFonts w:ascii="Cambria Math" w:hAnsi="Cambria Math"/>
                </w:rPr>
                <m:t>*</m:t>
              </m:r>
              <m:r>
                <w:rPr>
                  <w:rFonts w:ascii="Cambria Math" w:hAnsi="Cambria Math"/>
                </w:rPr>
                <m:t>MatRat</m:t>
              </m:r>
              <m:sSub>
                <m:sSubPr>
                  <m:ctrlPr>
                    <w:rPr>
                      <w:rFonts w:ascii="Cambria Math" w:hAnsi="Cambria Math"/>
                    </w:rPr>
                  </m:ctrlPr>
                </m:sSubPr>
                <m:e>
                  <m:r>
                    <w:rPr>
                      <w:rFonts w:ascii="Cambria Math" w:hAnsi="Cambria Math"/>
                    </w:rPr>
                    <m:t>e</m:t>
                  </m:r>
                </m:e>
                <m:sub>
                  <m:r>
                    <w:rPr>
                      <w:rFonts w:ascii="Cambria Math" w:hAnsi="Cambria Math"/>
                    </w:rPr>
                    <m:t>s</m:t>
                  </m:r>
                  <m:r>
                    <w:rPr>
                      <w:rFonts w:ascii="Cambria Math" w:hAnsi="Cambria Math"/>
                    </w:rPr>
                    <m:t>,</m:t>
                  </m:r>
                  <m:r>
                    <w:rPr>
                      <w:rFonts w:ascii="Cambria Math" w:hAnsi="Cambria Math"/>
                    </w:rPr>
                    <m:t>a</m:t>
                  </m:r>
                  <m:r>
                    <w:rPr>
                      <w:rFonts w:ascii="Cambria Math" w:hAnsi="Cambria Math"/>
                    </w:rPr>
                    <m:t>,</m:t>
                  </m:r>
                  <m:r>
                    <w:rPr>
                      <w:rFonts w:ascii="Cambria Math" w:hAnsi="Cambria Math"/>
                    </w:rPr>
                    <m:t>T</m:t>
                  </m:r>
                  <m:r>
                    <w:rPr>
                      <w:rFonts w:ascii="Cambria Math" w:hAnsi="Cambria Math"/>
                    </w:rPr>
                    <m:t>3</m:t>
                  </m:r>
                </m:sub>
              </m:sSub>
            </m:e>
          </m:d>
        </m:oMath>
      </m:oMathPara>
    </w:p>
    <w:p w:rsidR="00B3614E" w:rsidRDefault="007248CA">
      <w:pPr>
        <w:pStyle w:val="FirstParagraph"/>
      </w:pPr>
      <w:r>
        <w:t>It is also worth noting that whereas the ERA maturation rates are calculated using CWT recovery data for each brood year across the time series, the FRAM matur</w:t>
      </w:r>
      <w:r>
        <w:t>ation rates are calculated as part of the base period calibration, thus, as part of the base period data set they remain constant between model runs (i.e., are static across all years in this assessment). Maturation rates for five year old Chinook are assu</w:t>
      </w:r>
      <w:r>
        <w:t>med to be 100% in both models. As a result, age five maturation rates were not included in the maturation rate plots that follow in an effort to improve readability.</w:t>
      </w:r>
    </w:p>
    <w:p w:rsidR="00B3614E" w:rsidRDefault="007248CA">
      <w:pPr>
        <w:pStyle w:val="Heading2"/>
      </w:pPr>
      <w:bookmarkStart w:id="10" w:name="results"/>
      <w:bookmarkEnd w:id="10"/>
      <w:r>
        <w:lastRenderedPageBreak/>
        <w:t>Results</w:t>
      </w:r>
    </w:p>
    <w:p w:rsidR="00B3614E" w:rsidRDefault="007248CA">
      <w:pPr>
        <w:pStyle w:val="Heading3"/>
      </w:pPr>
      <w:bookmarkStart w:id="11" w:name="overall-summary-across-stocks"/>
      <w:bookmarkEnd w:id="11"/>
      <w:r>
        <w:t>Overall Summary Across Stocks</w:t>
      </w:r>
    </w:p>
    <w:p w:rsidR="00B3614E" w:rsidRDefault="007248CA">
      <w:pPr>
        <w:pStyle w:val="Heading4"/>
      </w:pPr>
      <w:bookmarkStart w:id="12" w:name="regional-box-plots"/>
      <w:bookmarkEnd w:id="12"/>
      <w:r>
        <w:t>Regional Box Plots</w:t>
      </w:r>
    </w:p>
    <w:p w:rsidR="00B3614E" w:rsidRDefault="007248CA">
      <w:pPr>
        <w:pStyle w:val="Heading5"/>
      </w:pPr>
      <w:bookmarkStart w:id="13" w:name="puget-sound"/>
      <w:bookmarkEnd w:id="13"/>
      <w:r>
        <w:t>Puget Sound</w:t>
      </w:r>
    </w:p>
    <w:p w:rsidR="00B3614E" w:rsidRDefault="007248CA">
      <w:pPr>
        <w:pStyle w:val="FirstParagraph"/>
      </w:pPr>
      <w:r>
        <w:rPr>
          <w:noProof/>
        </w:rPr>
        <w:drawing>
          <wp:inline distT="0" distB="0" distL="0" distR="0">
            <wp:extent cx="5334000" cy="2667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Ocean%20ER%20Box%20Plot1-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rsidR="00B3614E" w:rsidRDefault="007248CA">
      <w:pPr>
        <w:pStyle w:val="Heading5"/>
      </w:pPr>
      <w:bookmarkStart w:id="14" w:name="columbia-river"/>
      <w:bookmarkEnd w:id="14"/>
      <w:r>
        <w:t>Columbia River</w:t>
      </w:r>
    </w:p>
    <w:p w:rsidR="00B3614E" w:rsidRDefault="007248CA">
      <w:pPr>
        <w:pStyle w:val="FirstParagraph"/>
      </w:pPr>
      <w:r>
        <w:rPr>
          <w:noProof/>
        </w:rPr>
        <w:drawing>
          <wp:inline distT="0" distB="0" distL="0" distR="0">
            <wp:extent cx="5334000" cy="2667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Ocean%20ER%20Box%20Plot2-1.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rsidR="00B3614E" w:rsidRDefault="007248CA">
      <w:pPr>
        <w:pStyle w:val="Heading5"/>
      </w:pPr>
      <w:bookmarkStart w:id="15" w:name="waor-coast-canada"/>
      <w:bookmarkEnd w:id="15"/>
      <w:r>
        <w:lastRenderedPageBreak/>
        <w:t>WA/OR Coast &amp; Canada</w:t>
      </w:r>
    </w:p>
    <w:p w:rsidR="00B3614E" w:rsidRDefault="007248CA">
      <w:pPr>
        <w:pStyle w:val="FirstParagraph"/>
      </w:pPr>
      <w:r>
        <w:rPr>
          <w:noProof/>
        </w:rPr>
        <w:drawing>
          <wp:inline distT="0" distB="0" distL="0" distR="0">
            <wp:extent cx="5334000" cy="2667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Ocean%20ER%20Box%20Plot3-1.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rsidR="00B3614E" w:rsidRDefault="007248CA">
      <w:pPr>
        <w:pStyle w:val="Heading4"/>
      </w:pPr>
      <w:bookmarkStart w:id="16" w:name="er-scatterplots"/>
      <w:bookmarkEnd w:id="16"/>
      <w:r>
        <w:t>ER Scatterplots</w:t>
      </w:r>
    </w:p>
    <w:p w:rsidR="00B3614E" w:rsidRDefault="007248CA">
      <w:pPr>
        <w:pStyle w:val="Heading5"/>
      </w:pPr>
      <w:bookmarkStart w:id="17" w:name="combined"/>
      <w:bookmarkEnd w:id="17"/>
      <w:r>
        <w:t>Combined</w:t>
      </w:r>
    </w:p>
    <w:p w:rsidR="00B3614E" w:rsidRDefault="007248CA">
      <w:pPr>
        <w:pStyle w:val="FirstParagraph"/>
      </w:pPr>
      <w:r>
        <w:rPr>
          <w:noProof/>
        </w:rPr>
        <w:drawing>
          <wp:inline distT="0" distB="0" distL="0" distR="0">
            <wp:extent cx="5334000" cy="2667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ER_scatter_full-1.png"/>
                    <pic:cNvPicPr>
                      <a:picLocks noChangeAspect="1" noChangeArrowheads="1"/>
                    </pic:cNvPicPr>
                  </pic:nvPicPr>
                  <pic:blipFill>
                    <a:blip r:embed="rId16"/>
                    <a:stretch>
                      <a:fillRect/>
                    </a:stretch>
                  </pic:blipFill>
                  <pic:spPr bwMode="auto">
                    <a:xfrm>
                      <a:off x="0" y="0"/>
                      <a:ext cx="5334000" cy="2667000"/>
                    </a:xfrm>
                    <a:prstGeom prst="rect">
                      <a:avLst/>
                    </a:prstGeom>
                    <a:noFill/>
                    <a:ln w="9525">
                      <a:noFill/>
                      <a:headEnd/>
                      <a:tailEnd/>
                    </a:ln>
                  </pic:spPr>
                </pic:pic>
              </a:graphicData>
            </a:graphic>
          </wp:inline>
        </w:drawing>
      </w:r>
    </w:p>
    <w:p w:rsidR="00B3614E" w:rsidRDefault="007248CA">
      <w:pPr>
        <w:pStyle w:val="Heading5"/>
      </w:pPr>
      <w:bookmarkStart w:id="18" w:name="to-2008"/>
      <w:bookmarkEnd w:id="18"/>
      <w:r>
        <w:lastRenderedPageBreak/>
        <w:t>1999 to 2008</w:t>
      </w:r>
    </w:p>
    <w:p w:rsidR="00B3614E" w:rsidRDefault="007248CA">
      <w:pPr>
        <w:pStyle w:val="FirstParagraph"/>
      </w:pPr>
      <w:r>
        <w:rPr>
          <w:noProof/>
        </w:rPr>
        <w:drawing>
          <wp:inline distT="0" distB="0" distL="0" distR="0">
            <wp:extent cx="5334000" cy="2667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ER_scatter_99ti08-1.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rsidR="00B3614E" w:rsidRDefault="007248CA">
      <w:pPr>
        <w:pStyle w:val="Heading5"/>
      </w:pPr>
      <w:bookmarkStart w:id="19" w:name="to-2018"/>
      <w:bookmarkEnd w:id="19"/>
      <w:r>
        <w:t>2009 to 2018</w:t>
      </w:r>
    </w:p>
    <w:p w:rsidR="00B3614E" w:rsidRDefault="007248CA">
      <w:pPr>
        <w:pStyle w:val="FirstParagraph"/>
      </w:pPr>
      <w:r>
        <w:rPr>
          <w:noProof/>
        </w:rPr>
        <w:drawing>
          <wp:inline distT="0" distB="0" distL="0" distR="0">
            <wp:extent cx="5334000" cy="2667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ER_scatter_09ti18-1.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rsidR="00B3614E" w:rsidRDefault="007248CA">
      <w:pPr>
        <w:pStyle w:val="Heading3"/>
      </w:pPr>
      <w:bookmarkStart w:id="20" w:name="individual-stock-results"/>
      <w:bookmarkEnd w:id="20"/>
      <w:r>
        <w:lastRenderedPageBreak/>
        <w:t>Individual Stock Results</w:t>
      </w:r>
    </w:p>
    <w:p w:rsidR="00B3614E" w:rsidRDefault="007248CA">
      <w:pPr>
        <w:pStyle w:val="Heading4"/>
      </w:pPr>
      <w:bookmarkStart w:id="21" w:name="nooksack-samish-fall"/>
      <w:bookmarkEnd w:id="21"/>
      <w:r>
        <w:t>Nooksack Samish Fall</w:t>
      </w:r>
    </w:p>
    <w:p w:rsidR="00B3614E" w:rsidRDefault="007248CA">
      <w:pPr>
        <w:pStyle w:val="BodyText"/>
      </w:pPr>
      <w:r>
        <w:rPr>
          <w:noProof/>
        </w:rPr>
        <w:drawing>
          <wp:inline distT="0" distB="0" distL="0" distR="0">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2.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3.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4.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22" w:name="nooksack-spring"/>
      <w:bookmarkEnd w:id="22"/>
      <w:r>
        <w:lastRenderedPageBreak/>
        <w:t>Nooksack Spring</w:t>
      </w:r>
    </w:p>
    <w:p w:rsidR="00B3614E" w:rsidRDefault="007248CA">
      <w:pPr>
        <w:pStyle w:val="BodyText"/>
      </w:pPr>
      <w:r>
        <w:rPr>
          <w:noProof/>
        </w:rPr>
        <w:drawing>
          <wp:inline distT="0" distB="0" distL="0" distR="0">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5.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6.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7.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8.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23" w:name="skagit-summer-fall"/>
      <w:bookmarkEnd w:id="23"/>
      <w:r>
        <w:lastRenderedPageBreak/>
        <w:t>Skagit Summer Fall</w:t>
      </w:r>
    </w:p>
    <w:p w:rsidR="00B3614E" w:rsidRDefault="007248CA">
      <w:pPr>
        <w:pStyle w:val="BodyText"/>
      </w:pPr>
      <w:r>
        <w:rPr>
          <w:noProof/>
        </w:rPr>
        <w:drawing>
          <wp:inline distT="0" distB="0" distL="0" distR="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9.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10.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1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12.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24" w:name="skagit-spring"/>
      <w:bookmarkEnd w:id="24"/>
      <w:r>
        <w:lastRenderedPageBreak/>
        <w:t>Skagit Spring</w:t>
      </w:r>
    </w:p>
    <w:p w:rsidR="00B3614E" w:rsidRDefault="007248CA">
      <w:pPr>
        <w:pStyle w:val="BodyText"/>
      </w:pPr>
      <w:r>
        <w:rPr>
          <w:noProof/>
        </w:rPr>
        <w:drawing>
          <wp:inline distT="0" distB="0" distL="0" distR="0">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13.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14.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15.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16.png"/>
                    <pic:cNvPicPr>
                      <a:picLocks noChangeAspect="1" noChangeArrowheads="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25" w:name="snohomish-fall-fingerling"/>
      <w:bookmarkEnd w:id="25"/>
      <w:r>
        <w:lastRenderedPageBreak/>
        <w:t>Snohomish Fall Fingerling</w:t>
      </w:r>
    </w:p>
    <w:p w:rsidR="00B3614E" w:rsidRDefault="007248CA">
      <w:pPr>
        <w:pStyle w:val="BodyText"/>
      </w:pPr>
      <w:r>
        <w:rPr>
          <w:noProof/>
        </w:rPr>
        <w:drawing>
          <wp:inline distT="0" distB="0" distL="0" distR="0">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17.png"/>
                    <pic:cNvPicPr>
                      <a:picLocks noChangeAspect="1" noChangeArrowheads="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18.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19.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20.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26" w:name="stillaguamish-fall-fingerling"/>
      <w:bookmarkEnd w:id="26"/>
      <w:r>
        <w:lastRenderedPageBreak/>
        <w:t>Stillaguamish Fall Fingerling</w:t>
      </w:r>
    </w:p>
    <w:p w:rsidR="00B3614E" w:rsidRDefault="007248CA">
      <w:pPr>
        <w:pStyle w:val="BodyText"/>
      </w:pPr>
      <w:r>
        <w:rPr>
          <w:noProof/>
        </w:rPr>
        <w:drawing>
          <wp:inline distT="0" distB="0" distL="0" distR="0">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21.png"/>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22.png"/>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23.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24.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27" w:name="mid-puget-sound-fall-fingerling"/>
      <w:bookmarkEnd w:id="27"/>
      <w:r>
        <w:lastRenderedPageBreak/>
        <w:t>Mid Puget Sound Fall Fingerling</w:t>
      </w:r>
    </w:p>
    <w:p w:rsidR="00B3614E" w:rsidRDefault="007248CA">
      <w:pPr>
        <w:pStyle w:val="BodyText"/>
      </w:pPr>
      <w:r>
        <w:rPr>
          <w:noProof/>
        </w:rPr>
        <w:drawing>
          <wp:inline distT="0" distB="0" distL="0" distR="0">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25.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26.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27.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28.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28" w:name="south-puget-sound-fall-fingerling"/>
      <w:bookmarkEnd w:id="28"/>
      <w:r>
        <w:lastRenderedPageBreak/>
        <w:t>South Puget Sound Fall Fingerling</w:t>
      </w:r>
    </w:p>
    <w:p w:rsidR="00B3614E" w:rsidRDefault="007248CA">
      <w:pPr>
        <w:pStyle w:val="BodyText"/>
      </w:pPr>
      <w:r>
        <w:rPr>
          <w:noProof/>
        </w:rPr>
        <w:drawing>
          <wp:inline distT="0" distB="0" distL="0" distR="0">
            <wp:extent cx="4620126" cy="3696101"/>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29.png"/>
                    <pic:cNvPicPr>
                      <a:picLocks noChangeAspect="1" noChangeArrowheads="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30.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3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32.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29" w:name="hood-canal-fall-fingerling"/>
      <w:bookmarkEnd w:id="29"/>
      <w:r>
        <w:lastRenderedPageBreak/>
        <w:t>Hood Canal Fall Fingerling</w:t>
      </w:r>
    </w:p>
    <w:p w:rsidR="00B3614E" w:rsidRDefault="007248CA">
      <w:pPr>
        <w:pStyle w:val="BodyText"/>
      </w:pPr>
      <w:r>
        <w:rPr>
          <w:noProof/>
        </w:rPr>
        <w:drawing>
          <wp:inline distT="0" distB="0" distL="0" distR="0">
            <wp:extent cx="4620126" cy="3696101"/>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33.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34.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35.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36.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30" w:name="or-hatchery-tule"/>
      <w:bookmarkEnd w:id="30"/>
      <w:r>
        <w:lastRenderedPageBreak/>
        <w:t>OR Hatchery Tule</w:t>
      </w:r>
    </w:p>
    <w:p w:rsidR="00B3614E" w:rsidRDefault="007248CA">
      <w:pPr>
        <w:pStyle w:val="BodyText"/>
      </w:pPr>
      <w:r>
        <w:rPr>
          <w:noProof/>
        </w:rPr>
        <w:drawing>
          <wp:inline distT="0" distB="0" distL="0" distR="0">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37.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38.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39.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40.png"/>
                    <pic:cNvPicPr>
                      <a:picLocks noChangeAspect="1" noChangeArrowheads="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31" w:name="wa-hatchery-tule"/>
      <w:bookmarkEnd w:id="31"/>
      <w:r>
        <w:lastRenderedPageBreak/>
        <w:t>WA Hatchery Tule</w:t>
      </w:r>
    </w:p>
    <w:p w:rsidR="00B3614E" w:rsidRDefault="007248CA">
      <w:pPr>
        <w:pStyle w:val="BodyText"/>
      </w:pPr>
      <w:r>
        <w:rPr>
          <w:noProof/>
        </w:rPr>
        <w:drawing>
          <wp:inline distT="0" distB="0" distL="0" distR="0">
            <wp:extent cx="4620126" cy="3696101"/>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41.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42.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43.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44.png"/>
                    <pic:cNvPicPr>
                      <a:picLocks noChangeAspect="1" noChangeArrowheads="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32" w:name="lower-columbia-river-wild"/>
      <w:bookmarkEnd w:id="32"/>
      <w:r>
        <w:lastRenderedPageBreak/>
        <w:t>Lower Columbia River Wild</w:t>
      </w:r>
    </w:p>
    <w:p w:rsidR="00B3614E" w:rsidRDefault="007248CA">
      <w:pPr>
        <w:pStyle w:val="BodyText"/>
      </w:pPr>
      <w:r>
        <w:rPr>
          <w:noProof/>
        </w:rPr>
        <w:drawing>
          <wp:inline distT="0" distB="0" distL="0" distR="0">
            <wp:extent cx="4620126" cy="3696101"/>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45.png"/>
                    <pic:cNvPicPr>
                      <a:picLocks noChangeAspect="1" noChangeArrowheads="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46.png"/>
                    <pic:cNvPicPr>
                      <a:picLocks noChangeAspect="1" noChangeArrowheads="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47.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48.png"/>
                    <pic:cNvPicPr>
                      <a:picLocks noChangeAspect="1" noChangeArrowheads="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33" w:name="spring-creek"/>
      <w:bookmarkEnd w:id="33"/>
      <w:r>
        <w:lastRenderedPageBreak/>
        <w:t>Spring Creek</w:t>
      </w:r>
    </w:p>
    <w:p w:rsidR="00B3614E" w:rsidRDefault="007248CA">
      <w:pPr>
        <w:pStyle w:val="BodyText"/>
      </w:pPr>
      <w:r>
        <w:rPr>
          <w:noProof/>
        </w:rPr>
        <w:drawing>
          <wp:inline distT="0" distB="0" distL="0" distR="0">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49.png"/>
                    <pic:cNvPicPr>
                      <a:picLocks noChangeAspect="1" noChangeArrowheads="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50.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51.png"/>
                    <pic:cNvPicPr>
                      <a:picLocks noChangeAspect="1" noChangeArrowheads="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52.png"/>
                    <pic:cNvPicPr>
                      <a:picLocks noChangeAspect="1" noChangeArrowheads="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34" w:name="columbia-river-summer"/>
      <w:bookmarkEnd w:id="34"/>
      <w:r>
        <w:lastRenderedPageBreak/>
        <w:t>Columbia River Summer</w:t>
      </w:r>
    </w:p>
    <w:p w:rsidR="00B3614E" w:rsidRDefault="007248CA">
      <w:pPr>
        <w:pStyle w:val="BodyText"/>
      </w:pPr>
      <w:r>
        <w:rPr>
          <w:noProof/>
        </w:rPr>
        <w:drawing>
          <wp:inline distT="0" distB="0" distL="0" distR="0">
            <wp:extent cx="4620126" cy="3696101"/>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53.png"/>
                    <pic:cNvPicPr>
                      <a:picLocks noChangeAspect="1" noChangeArrowheads="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54.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55.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56.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35" w:name="upriver-bright"/>
      <w:bookmarkEnd w:id="35"/>
      <w:r>
        <w:lastRenderedPageBreak/>
        <w:t>Upriver Bright</w:t>
      </w:r>
    </w:p>
    <w:p w:rsidR="00B3614E" w:rsidRDefault="007248CA">
      <w:pPr>
        <w:pStyle w:val="BodyText"/>
      </w:pPr>
      <w:r>
        <w:rPr>
          <w:noProof/>
        </w:rPr>
        <w:drawing>
          <wp:inline distT="0" distB="0" distL="0" distR="0">
            <wp:extent cx="4620126" cy="369610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57.png"/>
                    <pic:cNvPicPr>
                      <a:picLocks noChangeAspect="1" noChangeArrowheads="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58.png"/>
                    <pic:cNvPicPr>
                      <a:picLocks noChangeAspect="1" noChangeArrowheads="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59.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60.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36" w:name="willamette-spring"/>
      <w:bookmarkEnd w:id="36"/>
      <w:r>
        <w:lastRenderedPageBreak/>
        <w:t>Willamette Spring</w:t>
      </w:r>
    </w:p>
    <w:p w:rsidR="00B3614E" w:rsidRDefault="007248CA">
      <w:pPr>
        <w:pStyle w:val="BodyText"/>
      </w:pPr>
      <w:r>
        <w:rPr>
          <w:noProof/>
        </w:rPr>
        <w:drawing>
          <wp:inline distT="0" distB="0" distL="0" distR="0">
            <wp:extent cx="4620126" cy="3696101"/>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61.png"/>
                    <pic:cNvPicPr>
                      <a:picLocks noChangeAspect="1" noChangeArrowheads="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62.png"/>
                    <pic:cNvPicPr>
                      <a:picLocks noChangeAspect="1" noChangeArrowheads="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63.png"/>
                    <pic:cNvPicPr>
                      <a:picLocks noChangeAspect="1" noChangeArrowheads="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64.png"/>
                    <pic:cNvPicPr>
                      <a:picLocks noChangeAspect="1" noChangeArrowheads="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37" w:name="snake-river-fall"/>
      <w:bookmarkEnd w:id="37"/>
      <w:r>
        <w:lastRenderedPageBreak/>
        <w:t>Snake River Fall</w:t>
      </w:r>
    </w:p>
    <w:p w:rsidR="00B3614E" w:rsidRDefault="007248CA">
      <w:pPr>
        <w:pStyle w:val="BodyText"/>
      </w:pPr>
      <w:r>
        <w:rPr>
          <w:noProof/>
        </w:rPr>
        <w:drawing>
          <wp:inline distT="0" distB="0" distL="0" distR="0">
            <wp:extent cx="4620126" cy="3696101"/>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65.png"/>
                    <pic:cNvPicPr>
                      <a:picLocks noChangeAspect="1" noChangeArrowheads="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66.png"/>
                    <pic:cNvPicPr>
                      <a:picLocks noChangeAspect="1" noChangeArrowheads="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67.png"/>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68.png"/>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38" w:name="hoko"/>
      <w:bookmarkEnd w:id="38"/>
      <w:r>
        <w:lastRenderedPageBreak/>
        <w:t>Hoko</w:t>
      </w:r>
    </w:p>
    <w:p w:rsidR="00B3614E" w:rsidRDefault="007248CA">
      <w:pPr>
        <w:pStyle w:val="BodyText"/>
      </w:pPr>
      <w:r>
        <w:rPr>
          <w:noProof/>
        </w:rPr>
        <w:drawing>
          <wp:inline distT="0" distB="0" distL="0" distR="0">
            <wp:extent cx="4620126" cy="3696101"/>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69.png"/>
                    <pic:cNvPicPr>
                      <a:picLocks noChangeAspect="1" noChangeArrowheads="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70.png"/>
                    <pic:cNvPicPr>
                      <a:picLocks noChangeAspect="1" noChangeArrowheads="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71.png"/>
                    <pic:cNvPicPr>
                      <a:picLocks noChangeAspect="1" noChangeArrowheads="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72.png"/>
                    <pic:cNvPicPr>
                      <a:picLocks noChangeAspect="1" noChangeArrowheads="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39" w:name="wa-north-coast"/>
      <w:bookmarkEnd w:id="39"/>
      <w:r>
        <w:lastRenderedPageBreak/>
        <w:t>WA North Coast</w:t>
      </w:r>
    </w:p>
    <w:p w:rsidR="00B3614E" w:rsidRDefault="007248CA">
      <w:pPr>
        <w:pStyle w:val="BodyText"/>
      </w:pPr>
      <w:r>
        <w:rPr>
          <w:noProof/>
        </w:rPr>
        <w:drawing>
          <wp:inline distT="0" distB="0" distL="0" distR="0">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73.png"/>
                    <pic:cNvPicPr>
                      <a:picLocks noChangeAspect="1" noChangeArrowheads="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74.png"/>
                    <pic:cNvPicPr>
                      <a:picLocks noChangeAspect="1" noChangeArrowheads="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75.png"/>
                    <pic:cNvPicPr>
                      <a:picLocks noChangeAspect="1" noChangeArrowheads="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76.png"/>
                    <pic:cNvPicPr>
                      <a:picLocks noChangeAspect="1" noChangeArrowheads="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40" w:name="north-or-coast"/>
      <w:bookmarkEnd w:id="40"/>
      <w:r>
        <w:lastRenderedPageBreak/>
        <w:t>North OR Coast</w:t>
      </w:r>
    </w:p>
    <w:p w:rsidR="00B3614E" w:rsidRDefault="007248CA">
      <w:pPr>
        <w:pStyle w:val="BodyText"/>
      </w:pPr>
      <w:r>
        <w:rPr>
          <w:noProof/>
        </w:rPr>
        <w:drawing>
          <wp:inline distT="0" distB="0" distL="0" distR="0">
            <wp:extent cx="4620126" cy="369610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77.png"/>
                    <pic:cNvPicPr>
                      <a:picLocks noChangeAspect="1" noChangeArrowheads="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78.png"/>
                    <pic:cNvPicPr>
                      <a:picLocks noChangeAspect="1" noChangeArrowheads="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79.png"/>
                    <pic:cNvPicPr>
                      <a:picLocks noChangeAspect="1" noChangeArrowheads="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80.png"/>
                    <pic:cNvPicPr>
                      <a:picLocks noChangeAspect="1" noChangeArrowheads="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41" w:name="mid-or-coast"/>
      <w:bookmarkEnd w:id="41"/>
      <w:r>
        <w:lastRenderedPageBreak/>
        <w:t>Mid OR Coast</w:t>
      </w:r>
    </w:p>
    <w:p w:rsidR="00B3614E" w:rsidRDefault="007248CA">
      <w:pPr>
        <w:pStyle w:val="BodyText"/>
      </w:pPr>
      <w:r>
        <w:rPr>
          <w:noProof/>
        </w:rPr>
        <w:drawing>
          <wp:inline distT="0" distB="0" distL="0" distR="0">
            <wp:extent cx="4620126" cy="369610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81.png"/>
                    <pic:cNvPicPr>
                      <a:picLocks noChangeAspect="1" noChangeArrowheads="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82.png"/>
                    <pic:cNvPicPr>
                      <a:picLocks noChangeAspect="1" noChangeArrowheads="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83.png"/>
                    <pic:cNvPicPr>
                      <a:picLocks noChangeAspect="1" noChangeArrowheads="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84.png"/>
                    <pic:cNvPicPr>
                      <a:picLocks noChangeAspect="1" noChangeArrowheads="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42" w:name="wcvi"/>
      <w:bookmarkEnd w:id="42"/>
      <w:r>
        <w:lastRenderedPageBreak/>
        <w:t>WCVI</w:t>
      </w:r>
    </w:p>
    <w:p w:rsidR="00B3614E" w:rsidRDefault="007248CA">
      <w:pPr>
        <w:pStyle w:val="BodyText"/>
      </w:pPr>
      <w:r>
        <w:rPr>
          <w:noProof/>
        </w:rPr>
        <w:drawing>
          <wp:inline distT="0" distB="0" distL="0" distR="0">
            <wp:extent cx="4620126" cy="3696101"/>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85.png"/>
                    <pic:cNvPicPr>
                      <a:picLocks noChangeAspect="1" noChangeArrowheads="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86.png"/>
                    <pic:cNvPicPr>
                      <a:picLocks noChangeAspect="1" noChangeArrowheads="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87.png"/>
                    <pic:cNvPicPr>
                      <a:picLocks noChangeAspect="1" noChangeArrowheads="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88.png"/>
                    <pic:cNvPicPr>
                      <a:picLocks noChangeAspect="1" noChangeArrowheads="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43" w:name="fraser-river-late"/>
      <w:bookmarkEnd w:id="43"/>
      <w:r>
        <w:lastRenderedPageBreak/>
        <w:t>Fraser River Late</w:t>
      </w:r>
    </w:p>
    <w:p w:rsidR="00B3614E" w:rsidRDefault="007248CA">
      <w:pPr>
        <w:pStyle w:val="BodyText"/>
      </w:pPr>
      <w:r>
        <w:rPr>
          <w:noProof/>
        </w:rPr>
        <w:drawing>
          <wp:inline distT="0" distB="0" distL="0" distR="0">
            <wp:extent cx="4620126" cy="3696101"/>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89.png"/>
                    <pic:cNvPicPr>
                      <a:picLocks noChangeAspect="1" noChangeArrowheads="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90.png"/>
                    <pic:cNvPicPr>
                      <a:picLocks noChangeAspect="1" noChangeArrowheads="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91.png"/>
                    <pic:cNvPicPr>
                      <a:picLocks noChangeAspect="1" noChangeArrowheads="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92.png"/>
                    <pic:cNvPicPr>
                      <a:picLocks noChangeAspect="1" noChangeArrowheads="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44" w:name="fraser-river-early"/>
      <w:bookmarkEnd w:id="44"/>
      <w:r>
        <w:lastRenderedPageBreak/>
        <w:t>Fraser River Early</w:t>
      </w:r>
    </w:p>
    <w:p w:rsidR="00B3614E" w:rsidRDefault="007248CA">
      <w:pPr>
        <w:pStyle w:val="BodyText"/>
      </w:pPr>
      <w:r>
        <w:rPr>
          <w:noProof/>
        </w:rPr>
        <w:drawing>
          <wp:inline distT="0" distB="0" distL="0" distR="0">
            <wp:extent cx="4620126" cy="3696101"/>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93.png"/>
                    <pic:cNvPicPr>
                      <a:picLocks noChangeAspect="1" noChangeArrowheads="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94.png"/>
                    <pic:cNvPicPr>
                      <a:picLocks noChangeAspect="1" noChangeArrowheads="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95.png"/>
                    <pic:cNvPicPr>
                      <a:picLocks noChangeAspect="1" noChangeArrowheads="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96.png"/>
                    <pic:cNvPicPr>
                      <a:picLocks noChangeAspect="1" noChangeArrowheads="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4"/>
      </w:pPr>
      <w:bookmarkStart w:id="45" w:name="lower-georgia-strait"/>
      <w:bookmarkEnd w:id="45"/>
      <w:r>
        <w:lastRenderedPageBreak/>
        <w:t>Lower Georgia Strait</w:t>
      </w:r>
    </w:p>
    <w:p w:rsidR="00B3614E" w:rsidRDefault="007248CA">
      <w:pPr>
        <w:pStyle w:val="BodyText"/>
      </w:pPr>
      <w:r>
        <w:rPr>
          <w:noProof/>
        </w:rPr>
        <w:drawing>
          <wp:inline distT="0" distB="0" distL="0" distR="0">
            <wp:extent cx="4620126" cy="3696101"/>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97.png"/>
                    <pic:cNvPicPr>
                      <a:picLocks noChangeAspect="1" noChangeArrowheads="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98.png"/>
                    <pic:cNvPicPr>
                      <a:picLocks noChangeAspect="1" noChangeArrowheads="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99.png"/>
                    <pic:cNvPicPr>
                      <a:picLocks noChangeAspect="1" noChangeArrowheads="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stock-specific%20output-100.png"/>
                    <pic:cNvPicPr>
                      <a:picLocks noChangeAspect="1" noChangeArrowheads="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2"/>
      </w:pPr>
      <w:bookmarkStart w:id="46" w:name="case-studies"/>
      <w:bookmarkEnd w:id="46"/>
      <w:r>
        <w:lastRenderedPageBreak/>
        <w:t>Case Studies</w:t>
      </w:r>
    </w:p>
    <w:p w:rsidR="00B3614E" w:rsidRDefault="007248CA">
      <w:pPr>
        <w:pStyle w:val="Heading3"/>
      </w:pPr>
      <w:bookmarkStart w:id="47" w:name="wcvi-1"/>
      <w:bookmarkEnd w:id="47"/>
      <w:r>
        <w:t>WCVI</w:t>
      </w:r>
    </w:p>
    <w:p w:rsidR="00B3614E" w:rsidRDefault="007248CA">
      <w:pPr>
        <w:pStyle w:val="FirstParagraph"/>
      </w:pPr>
      <w:r>
        <w:t>In comparing model outputs for the WCVI stock, ocean exploitation rates in FRAM were notably higher, particularly in years prior to 2013. It was clear from looking at the regional box plots for WCVI that the source of the disconnect was in Southern B.C. fi</w:t>
      </w:r>
      <w:r>
        <w:t>sheries. Through further investigation of the fishery mapping, we identified a mismatch in how the part of the terminal marine catch of the WCVI sport fishery was being mapped between the two models. In FRAM, these recoveries are mapped to the WCVI sport f</w:t>
      </w:r>
      <w:r>
        <w:t>ishery and included in the ocean exploitation rates. In the ERA, however, these terminal sport recoveries are mapped to the terminal Canada sport fishery in the mortality distribution tables, and thus excluded from the ocean exploitation rates. To align th</w:t>
      </w:r>
      <w:r>
        <w:t>ese fisheries for comparative purposes, we reproduced a set of mortality distribution tables using the same results of the ERA cohort analyses, but with a modified fishery mapping structure that assigned the relevant terminal sport fishery to the "Southern</w:t>
      </w:r>
      <w:r>
        <w:t xml:space="preserve"> B.C. ISBM sport" fishery.</w:t>
      </w:r>
    </w:p>
    <w:p w:rsidR="00B3614E" w:rsidRDefault="007248CA">
      <w:pPr>
        <w:pStyle w:val="BodyText"/>
      </w:pPr>
      <w:r>
        <w:rPr>
          <w:noProof/>
        </w:rPr>
        <w:lastRenderedPageBreak/>
        <w:drawing>
          <wp:inline distT="0" distB="0" distL="0" distR="0">
            <wp:extent cx="4620126" cy="3696101"/>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WCVIadj%20figs-1.png"/>
                    <pic:cNvPicPr>
                      <a:picLocks noChangeAspect="1" noChangeArrowheads="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drawing>
          <wp:inline distT="0" distB="0" distL="0" distR="0">
            <wp:extent cx="4620126" cy="3696101"/>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WCVIadj%20figs-2.png"/>
                    <pic:cNvPicPr>
                      <a:picLocks noChangeAspect="1" noChangeArrowheads="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r>
        <w:br/>
      </w:r>
      <w:r>
        <w:rPr>
          <w:noProof/>
        </w:rPr>
        <w:lastRenderedPageBreak/>
        <w:drawing>
          <wp:inline distT="0" distB="0" distL="0" distR="0">
            <wp:extent cx="4620126" cy="3696101"/>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WCVIadj%20figs-3.png"/>
                    <pic:cNvPicPr>
                      <a:picLocks noChangeAspect="1" noChangeArrowheads="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3"/>
      </w:pPr>
      <w:bookmarkStart w:id="48" w:name="nooksacksamish-fall"/>
      <w:bookmarkEnd w:id="48"/>
      <w:r>
        <w:t>Nooksack/Samish Fall</w:t>
      </w:r>
    </w:p>
    <w:p w:rsidR="00B3614E" w:rsidRDefault="007248CA">
      <w:pPr>
        <w:pStyle w:val="Compact"/>
        <w:numPr>
          <w:ilvl w:val="0"/>
          <w:numId w:val="4"/>
        </w:numPr>
      </w:pPr>
      <w:r>
        <w:t>add detail about imputing FW sport here?</w:t>
      </w:r>
    </w:p>
    <w:p w:rsidR="00B3614E" w:rsidRDefault="007248CA">
      <w:pPr>
        <w:pStyle w:val="Compact"/>
        <w:numPr>
          <w:ilvl w:val="0"/>
          <w:numId w:val="4"/>
        </w:numPr>
      </w:pPr>
      <w:r>
        <w:t>initial focus on Samish, than follow this section with a new section called "Puget Sound stocks with inadequate freshwater sport sampling"? In that section could provide FRAM_adj ER plots for the relevant stocks</w:t>
      </w:r>
    </w:p>
    <w:p w:rsidR="00B3614E" w:rsidRDefault="007248CA">
      <w:pPr>
        <w:pStyle w:val="Compact"/>
        <w:numPr>
          <w:ilvl w:val="0"/>
          <w:numId w:val="4"/>
        </w:numPr>
      </w:pPr>
      <w:r>
        <w:t>also include corrected 2007 ERA value (NOF s</w:t>
      </w:r>
      <w:r>
        <w:t>port including FW sport)</w:t>
      </w:r>
    </w:p>
    <w:p w:rsidR="00B3614E" w:rsidRDefault="007248CA">
      <w:pPr>
        <w:pStyle w:val="FirstParagraph"/>
      </w:pPr>
      <w:r>
        <w:t>While freshwater sport fisheries have consistently occurred in some Puget Sound rivers, the level of CWT sampling in these fisheries has been inadequate or nonexistent in many years. Although freshwater sport fisheries were not eva</w:t>
      </w:r>
      <w:r>
        <w:t>luated in this study, which focused solely on ocean exploitation rates, missing CWT recoveries will result in smaller abundances and consequently higher exploitation rates in all fisheries. By contrast, FRAM/TAMM account for freshwater sport fisheries by a</w:t>
      </w:r>
      <w:r>
        <w:t>ssigning 100% of the reported catch to the local stock and adding this catch to the abundance. For this exercise, in order to increase consistency between ERA and FRAM, freshwater sport catch was excluded from the FRAM abundance for sport fisheries without</w:t>
      </w:r>
      <w:r>
        <w:t xml:space="preserve"> CWT sampling. This resulted in increased ERs and has a significant effect on stocks with large freshwater sport fisheries, such as Skokomish (Hood Canal) or Nooksack/Samish Fall Chinook.</w:t>
      </w:r>
    </w:p>
    <w:p w:rsidR="00B3614E" w:rsidRDefault="007248CA">
      <w:pPr>
        <w:pStyle w:val="BodyText"/>
      </w:pPr>
      <w:r>
        <w:rPr>
          <w:noProof/>
        </w:rPr>
        <w:lastRenderedPageBreak/>
        <w:drawing>
          <wp:inline distT="0" distB="0" distL="0" distR="0">
            <wp:extent cx="4620126" cy="3696101"/>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0" name="Picture" descr="FRAM_v_ERA_files/figure-docx/Print%20FRAMadj%20figs-1.png"/>
                    <pic:cNvPicPr>
                      <a:picLocks noChangeAspect="1" noChangeArrowheads="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rsidR="00B3614E" w:rsidRDefault="007248CA">
      <w:pPr>
        <w:pStyle w:val="Heading3"/>
      </w:pPr>
      <w:bookmarkStart w:id="49" w:name="puget-sound-stocks-with-inadequate-fresh"/>
      <w:bookmarkEnd w:id="49"/>
      <w:r>
        <w:t>Puget Sound stocks with inadequate freshwater sport sampling</w:t>
      </w:r>
    </w:p>
    <w:p w:rsidR="00B3614E" w:rsidRDefault="007248CA">
      <w:pPr>
        <w:pStyle w:val="Heading2"/>
      </w:pPr>
      <w:bookmarkStart w:id="50" w:name="conclusions-and-next-steps"/>
      <w:bookmarkEnd w:id="50"/>
      <w:r>
        <w:t>Concl</w:t>
      </w:r>
      <w:r>
        <w:t>usions and Next Steps</w:t>
      </w:r>
    </w:p>
    <w:p w:rsidR="00B3614E" w:rsidRDefault="007248CA">
      <w:pPr>
        <w:pStyle w:val="FirstParagraph"/>
      </w:pPr>
      <w:r>
        <w:t>This analysis compares ERA to FRAM exploitation and maturation rates. While there is good agreement for many stocks (Nooksack Springs, Mid Puget Sound, WA Hatchery Tules) this exercise also highlights stock/fishery combinations with s</w:t>
      </w:r>
      <w:r>
        <w:t>ignificant differences. Further analysis is needed to explore the causes of these differences in depth. This work is expected to result in improvements to both methods. Based on preliminary examinations, likely causes are inadequate sampling and/or catch r</w:t>
      </w:r>
      <w:r>
        <w:t>eporting, fisheries mismatches, insufficient tagging and a lack of methods to account for impacts to untagged fish.</w:t>
      </w:r>
    </w:p>
    <w:p w:rsidR="00B3614E" w:rsidRDefault="007248CA">
      <w:pPr>
        <w:pStyle w:val="BodyText"/>
      </w:pPr>
      <w:r>
        <w:t>Further analysis should also focus on maturation rates. The authors recommend a sensitivity analysis to evaluate the effect of maturation ra</w:t>
      </w:r>
      <w:r>
        <w:t>tes on exploitation rates. Maturation rates have increased significantly for many stocks between FRAM's previous and the new base period. Studies to examine whether maturation rates have truly increased versus an increase in natural mortality could be very</w:t>
      </w:r>
      <w:r>
        <w:t xml:space="preserve"> insightful. While the effect of maturation rates on exploitation rates may be minor for some stocks/fisheries, maturation rates greatly influence estimates of prefishing abundances .</w:t>
      </w:r>
    </w:p>
    <w:p w:rsidR="00B3614E" w:rsidRDefault="007248CA">
      <w:pPr>
        <w:pStyle w:val="Heading2"/>
      </w:pPr>
      <w:bookmarkStart w:id="51" w:name="appendices"/>
      <w:bookmarkEnd w:id="51"/>
      <w:r>
        <w:lastRenderedPageBreak/>
        <w:t>Appendices</w:t>
      </w:r>
    </w:p>
    <w:p w:rsidR="00B3614E" w:rsidRDefault="007248CA">
      <w:pPr>
        <w:pStyle w:val="Heading3"/>
      </w:pPr>
      <w:bookmarkStart w:id="52" w:name="appendix-a"/>
      <w:bookmarkEnd w:id="52"/>
      <w:r>
        <w:t>Appendix A</w:t>
      </w:r>
    </w:p>
    <w:p w:rsidR="00B3614E" w:rsidRDefault="007248CA">
      <w:pPr>
        <w:pStyle w:val="FirstParagraph"/>
      </w:pPr>
      <w:r>
        <w:t>Exploitation rate data used in generation of repor</w:t>
      </w:r>
      <w:r>
        <w:t>t figures. Total ocean exploitation rate is the result of summing the exploitation rate across all regions for a given stock, year, and model.</w:t>
      </w:r>
    </w:p>
    <w:p w:rsidR="00B3614E" w:rsidRDefault="007248CA">
      <w:pPr>
        <w:pStyle w:val="Heading3"/>
      </w:pPr>
      <w:bookmarkStart w:id="53" w:name="appendix-b"/>
      <w:bookmarkEnd w:id="53"/>
      <w:r>
        <w:t>Appendix B</w:t>
      </w:r>
    </w:p>
    <w:p w:rsidR="00B3614E" w:rsidRDefault="007248CA">
      <w:pPr>
        <w:pStyle w:val="FirstParagraph"/>
      </w:pPr>
      <w:r>
        <w:t>Maturation rate data used in generation of report figures.</w:t>
      </w:r>
      <w:bookmarkStart w:id="54" w:name="_GoBack"/>
      <w:bookmarkEnd w:id="54"/>
    </w:p>
    <w:sectPr w:rsidR="00B3614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48CA" w:rsidRDefault="007248CA">
      <w:pPr>
        <w:spacing w:after="0"/>
      </w:pPr>
      <w:r>
        <w:separator/>
      </w:r>
    </w:p>
  </w:endnote>
  <w:endnote w:type="continuationSeparator" w:id="0">
    <w:p w:rsidR="007248CA" w:rsidRDefault="007248C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48CA" w:rsidRDefault="007248CA">
      <w:r>
        <w:separator/>
      </w:r>
    </w:p>
  </w:footnote>
  <w:footnote w:type="continuationSeparator" w:id="0">
    <w:p w:rsidR="007248CA" w:rsidRDefault="007248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A5E864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B79D7EE"/>
    <w:multiLevelType w:val="multilevel"/>
    <w:tmpl w:val="791800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C001F29"/>
    <w:multiLevelType w:val="multilevel"/>
    <w:tmpl w:val="74124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02196"/>
    <w:rsid w:val="004E29B3"/>
    <w:rsid w:val="00590D07"/>
    <w:rsid w:val="007248CA"/>
    <w:rsid w:val="00784D58"/>
    <w:rsid w:val="008D6863"/>
    <w:rsid w:val="00B3614E"/>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C99F04C-8A7A-4A8D-B502-74750453C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yperlink" Target="https://www.psc.org/download/35/chinook-technical-committee/14106/tcchinook-21-05.pdf"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hyperlink" Target="https://www.psc.org/download/638/data-sets/14107/tcchinook-21-05-appendix-c-mortality-distribution-tables-detailed.xlsx" TargetMode="External"/><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theme" Target="theme/theme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7" Type="http://schemas.openxmlformats.org/officeDocument/2006/relationships/hyperlink" Target="https://framverse.github.io/fram_doc/index.html" TargetMode="Externa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jp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hyperlink" Target="https://www.psc.org/download/35/chinook-technical-committee/2150/tcchinook88-2app2.pdf" TargetMode="Externa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66</Pages>
  <Words>3365</Words>
  <Characters>19183</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Evaluation of post-season Chinook FRAM performance</vt:lpstr>
    </vt:vector>
  </TitlesOfParts>
  <Company/>
  <LinksUpToDate>false</LinksUpToDate>
  <CharactersWithSpaces>22503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post-season Chinook FRAM performance</dc:title>
  <dc:creator>Jon Carey</dc:creator>
  <cp:lastModifiedBy>Jon Carey</cp:lastModifiedBy>
  <cp:revision>2</cp:revision>
  <dcterms:created xsi:type="dcterms:W3CDTF">2021-10-05T17:40:00Z</dcterms:created>
  <dcterms:modified xsi:type="dcterms:W3CDTF">2021-10-05T17:40:00Z</dcterms:modified>
</cp:coreProperties>
</file>