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A0B493" w14:textId="70EB9292" w:rsidR="00EE1E63" w:rsidRDefault="00D511BA">
      <w:pPr>
        <w:rPr>
          <w:b/>
          <w:i/>
          <w:color w:val="000000" w:themeColor="text1"/>
          <w:sz w:val="36"/>
          <w:szCs w:val="36"/>
        </w:rPr>
      </w:pPr>
      <w:r w:rsidRPr="00D511BA">
        <w:rPr>
          <w:b/>
          <w:i/>
          <w:color w:val="000000" w:themeColor="text1"/>
          <w:sz w:val="36"/>
          <w:szCs w:val="36"/>
        </w:rPr>
        <w:t xml:space="preserve">Description of Single Cell Portal access for “Single Cell Comparison: </w:t>
      </w:r>
      <w:r w:rsidR="000F7704">
        <w:rPr>
          <w:b/>
          <w:i/>
          <w:color w:val="000000" w:themeColor="text1"/>
          <w:sz w:val="36"/>
          <w:szCs w:val="36"/>
        </w:rPr>
        <w:t>PBMC</w:t>
      </w:r>
      <w:r w:rsidR="000F7704" w:rsidRPr="00D511BA">
        <w:rPr>
          <w:b/>
          <w:i/>
          <w:color w:val="000000" w:themeColor="text1"/>
          <w:sz w:val="36"/>
          <w:szCs w:val="36"/>
        </w:rPr>
        <w:t xml:space="preserve"> </w:t>
      </w:r>
      <w:r w:rsidRPr="00D511BA">
        <w:rPr>
          <w:b/>
          <w:i/>
          <w:color w:val="000000" w:themeColor="text1"/>
          <w:sz w:val="36"/>
          <w:szCs w:val="36"/>
        </w:rPr>
        <w:t>data”</w:t>
      </w:r>
    </w:p>
    <w:p w14:paraId="7B3C361A" w14:textId="77777777" w:rsidR="00D511BA" w:rsidRDefault="00D511BA">
      <w:pPr>
        <w:rPr>
          <w:b/>
          <w:i/>
          <w:color w:val="000000" w:themeColor="text1"/>
          <w:sz w:val="36"/>
          <w:szCs w:val="36"/>
        </w:rPr>
      </w:pPr>
    </w:p>
    <w:p w14:paraId="4FF48752" w14:textId="0A07D4F8" w:rsidR="00D511BA" w:rsidRDefault="00D511BA">
      <w:pPr>
        <w:rPr>
          <w:color w:val="000000" w:themeColor="text1"/>
        </w:rPr>
      </w:pPr>
      <w:r>
        <w:rPr>
          <w:color w:val="000000" w:themeColor="text1"/>
        </w:rPr>
        <w:t xml:space="preserve">This single cell portal study corresponds to </w:t>
      </w:r>
      <w:r w:rsidR="005A7604">
        <w:rPr>
          <w:color w:val="000000" w:themeColor="text1"/>
        </w:rPr>
        <w:t>Peripheral Blood Mononuclear Cell (</w:t>
      </w:r>
      <w:r w:rsidR="00E51B0B">
        <w:rPr>
          <w:color w:val="000000" w:themeColor="text1"/>
        </w:rPr>
        <w:t>PBMC</w:t>
      </w:r>
      <w:r w:rsidR="005A7604">
        <w:rPr>
          <w:color w:val="000000" w:themeColor="text1"/>
        </w:rPr>
        <w:t>)</w:t>
      </w:r>
      <w:r>
        <w:rPr>
          <w:color w:val="000000" w:themeColor="text1"/>
        </w:rPr>
        <w:t xml:space="preserve"> single </w:t>
      </w:r>
      <w:r w:rsidR="001651C7">
        <w:rPr>
          <w:color w:val="000000" w:themeColor="text1"/>
        </w:rPr>
        <w:t xml:space="preserve">cell </w:t>
      </w:r>
      <w:r w:rsidR="000B50EA">
        <w:rPr>
          <w:color w:val="000000" w:themeColor="text1"/>
        </w:rPr>
        <w:t xml:space="preserve">RNA-seq (scRNA-seq) </w:t>
      </w:r>
      <w:r>
        <w:rPr>
          <w:color w:val="000000" w:themeColor="text1"/>
        </w:rPr>
        <w:t>data from the recent manuscript “</w:t>
      </w:r>
      <w:r w:rsidRPr="00D511BA">
        <w:rPr>
          <w:color w:val="000000" w:themeColor="text1"/>
        </w:rPr>
        <w:t>Systematic comparative analysis of single cell RNA-sequencing methods</w:t>
      </w:r>
      <w:r>
        <w:rPr>
          <w:color w:val="000000" w:themeColor="text1"/>
        </w:rPr>
        <w:t xml:space="preserve">” (see our preprint at: </w:t>
      </w:r>
      <w:hyperlink r:id="rId4" w:history="1">
        <w:r w:rsidRPr="00822642">
          <w:rPr>
            <w:rStyle w:val="Hyperlink"/>
          </w:rPr>
          <w:t>https://www.biorxiv.org/content/10.1101/632216v1)</w:t>
        </w:r>
      </w:hyperlink>
      <w:r>
        <w:rPr>
          <w:color w:val="000000" w:themeColor="text1"/>
        </w:rPr>
        <w:t>.</w:t>
      </w:r>
    </w:p>
    <w:p w14:paraId="72F822A3" w14:textId="77777777" w:rsidR="00D511BA" w:rsidRDefault="00D511BA">
      <w:pPr>
        <w:rPr>
          <w:color w:val="000000" w:themeColor="text1"/>
        </w:rPr>
      </w:pPr>
    </w:p>
    <w:p w14:paraId="3455BCDA" w14:textId="6E82BCE1" w:rsidR="00D511BA" w:rsidRDefault="00D511BA">
      <w:pPr>
        <w:rPr>
          <w:color w:val="000000" w:themeColor="text1"/>
        </w:rPr>
      </w:pPr>
      <w:r>
        <w:rPr>
          <w:color w:val="000000" w:themeColor="text1"/>
        </w:rPr>
        <w:t xml:space="preserve">In particular, this study contains </w:t>
      </w:r>
      <w:r w:rsidR="001651C7">
        <w:rPr>
          <w:color w:val="000000" w:themeColor="text1"/>
        </w:rPr>
        <w:t xml:space="preserve">data from </w:t>
      </w:r>
      <w:r w:rsidR="00E51B0B">
        <w:rPr>
          <w:color w:val="000000" w:themeColor="text1"/>
        </w:rPr>
        <w:t>6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</w:t>
      </w:r>
      <w:r w:rsidR="000B50EA">
        <w:rPr>
          <w:color w:val="000000" w:themeColor="text1"/>
        </w:rPr>
        <w:t>cRNA-seq</w:t>
      </w:r>
      <w:proofErr w:type="spellEnd"/>
      <w:r>
        <w:rPr>
          <w:color w:val="000000" w:themeColor="text1"/>
        </w:rPr>
        <w:t xml:space="preserve"> methods (Smart-seq2, </w:t>
      </w:r>
      <w:r w:rsidR="000B50EA">
        <w:rPr>
          <w:color w:val="000000" w:themeColor="text1"/>
        </w:rPr>
        <w:t>CEL-Seq2, 10x Ch</w:t>
      </w:r>
      <w:r w:rsidR="002A3CA3">
        <w:rPr>
          <w:color w:val="000000" w:themeColor="text1"/>
        </w:rPr>
        <w:t>r</w:t>
      </w:r>
      <w:r w:rsidR="000B50EA">
        <w:rPr>
          <w:color w:val="000000" w:themeColor="text1"/>
        </w:rPr>
        <w:t xml:space="preserve">omium, </w:t>
      </w:r>
      <w:r w:rsidR="001651C7">
        <w:rPr>
          <w:color w:val="000000" w:themeColor="text1"/>
        </w:rPr>
        <w:t>Drop-</w:t>
      </w:r>
      <w:r w:rsidR="000B50EA">
        <w:rPr>
          <w:color w:val="000000" w:themeColor="text1"/>
        </w:rPr>
        <w:t>seq</w:t>
      </w:r>
      <w:r w:rsidR="001651C7">
        <w:rPr>
          <w:color w:val="000000" w:themeColor="text1"/>
        </w:rPr>
        <w:t>, Seq</w:t>
      </w:r>
      <w:r w:rsidR="000B50EA">
        <w:rPr>
          <w:color w:val="000000" w:themeColor="text1"/>
        </w:rPr>
        <w:t>-W</w:t>
      </w:r>
      <w:r w:rsidR="001651C7">
        <w:rPr>
          <w:color w:val="000000" w:themeColor="text1"/>
        </w:rPr>
        <w:t>ell</w:t>
      </w:r>
      <w:r w:rsidR="000B50EA">
        <w:rPr>
          <w:color w:val="000000" w:themeColor="text1"/>
        </w:rPr>
        <w:t xml:space="preserve">, </w:t>
      </w:r>
      <w:r w:rsidR="00E51B0B">
        <w:rPr>
          <w:color w:val="000000" w:themeColor="text1"/>
        </w:rPr>
        <w:t xml:space="preserve">and </w:t>
      </w:r>
      <w:r w:rsidR="000B50EA">
        <w:rPr>
          <w:color w:val="000000" w:themeColor="text1"/>
        </w:rPr>
        <w:t>inDrops</w:t>
      </w:r>
      <w:r>
        <w:rPr>
          <w:color w:val="000000" w:themeColor="text1"/>
        </w:rPr>
        <w:t xml:space="preserve">). Each method </w:t>
      </w:r>
      <w:r w:rsidR="000B50EA">
        <w:rPr>
          <w:color w:val="000000" w:themeColor="text1"/>
        </w:rPr>
        <w:t>wa</w:t>
      </w:r>
      <w:r>
        <w:rPr>
          <w:color w:val="000000" w:themeColor="text1"/>
        </w:rPr>
        <w:t xml:space="preserve">s applied to two </w:t>
      </w:r>
      <w:r w:rsidR="000B50EA">
        <w:rPr>
          <w:color w:val="000000" w:themeColor="text1"/>
        </w:rPr>
        <w:t xml:space="preserve">replicates </w:t>
      </w:r>
      <w:r>
        <w:rPr>
          <w:color w:val="000000" w:themeColor="text1"/>
        </w:rPr>
        <w:t>(</w:t>
      </w:r>
      <w:r w:rsidR="00E51B0B">
        <w:rPr>
          <w:color w:val="000000" w:themeColor="text1"/>
        </w:rPr>
        <w:t xml:space="preserve">PBMC1 </w:t>
      </w:r>
      <w:r>
        <w:rPr>
          <w:color w:val="000000" w:themeColor="text1"/>
        </w:rPr>
        <w:t xml:space="preserve">and </w:t>
      </w:r>
      <w:r w:rsidR="00E51B0B">
        <w:rPr>
          <w:color w:val="000000" w:themeColor="text1"/>
        </w:rPr>
        <w:t>PBMC2</w:t>
      </w:r>
      <w:r>
        <w:rPr>
          <w:color w:val="000000" w:themeColor="text1"/>
        </w:rPr>
        <w:t>).</w:t>
      </w:r>
    </w:p>
    <w:p w14:paraId="583AD7ED" w14:textId="77777777" w:rsidR="00D511BA" w:rsidRDefault="00D511BA">
      <w:pPr>
        <w:rPr>
          <w:color w:val="000000" w:themeColor="text1"/>
        </w:rPr>
      </w:pPr>
    </w:p>
    <w:p w14:paraId="647A8C0B" w14:textId="0F3BF3FC" w:rsidR="00D511BA" w:rsidRDefault="00D511BA">
      <w:pPr>
        <w:rPr>
          <w:color w:val="000000" w:themeColor="text1"/>
        </w:rPr>
      </w:pPr>
      <w:r>
        <w:rPr>
          <w:color w:val="000000" w:themeColor="text1"/>
        </w:rPr>
        <w:t>The portal contains log normalized UMI count</w:t>
      </w:r>
      <w:r w:rsidR="00E51B0B">
        <w:rPr>
          <w:color w:val="000000" w:themeColor="text1"/>
        </w:rPr>
        <w:t>s per 10,000</w:t>
      </w:r>
      <w:r>
        <w:rPr>
          <w:color w:val="000000" w:themeColor="text1"/>
        </w:rPr>
        <w:t xml:space="preserve"> data from all these methods</w:t>
      </w:r>
      <w:r w:rsidR="000B50EA">
        <w:rPr>
          <w:color w:val="000000" w:themeColor="text1"/>
        </w:rPr>
        <w:t xml:space="preserve">, except for Smart-seq2 with </w:t>
      </w:r>
      <w:r w:rsidR="00E51B0B">
        <w:rPr>
          <w:color w:val="000000" w:themeColor="text1"/>
        </w:rPr>
        <w:t xml:space="preserve">log normalized </w:t>
      </w:r>
      <w:r w:rsidR="000B50EA">
        <w:rPr>
          <w:color w:val="000000" w:themeColor="text1"/>
        </w:rPr>
        <w:t>read count</w:t>
      </w:r>
      <w:r w:rsidR="00E51B0B">
        <w:rPr>
          <w:color w:val="000000" w:themeColor="text1"/>
        </w:rPr>
        <w:t xml:space="preserve">s per 10,000 </w:t>
      </w:r>
      <w:r w:rsidR="000B50EA">
        <w:rPr>
          <w:color w:val="000000" w:themeColor="text1"/>
        </w:rPr>
        <w:t>data</w:t>
      </w:r>
      <w:r>
        <w:rPr>
          <w:color w:val="000000" w:themeColor="text1"/>
        </w:rPr>
        <w:t xml:space="preserve">. </w:t>
      </w:r>
      <w:r w:rsidR="00E51B0B">
        <w:rPr>
          <w:color w:val="000000" w:themeColor="text1"/>
        </w:rPr>
        <w:t xml:space="preserve">Clicking on the explore tab shows a </w:t>
      </w:r>
      <w:r w:rsidR="002A3CA3">
        <w:rPr>
          <w:color w:val="000000" w:themeColor="text1"/>
        </w:rPr>
        <w:t>t</w:t>
      </w:r>
      <w:r w:rsidR="005A7604">
        <w:rPr>
          <w:color w:val="000000" w:themeColor="text1"/>
        </w:rPr>
        <w:t>-</w:t>
      </w:r>
      <w:r w:rsidR="002A3CA3">
        <w:rPr>
          <w:color w:val="000000" w:themeColor="text1"/>
        </w:rPr>
        <w:t>SNE</w:t>
      </w:r>
      <w:r w:rsidR="00E51B0B">
        <w:rPr>
          <w:color w:val="000000" w:themeColor="text1"/>
        </w:rPr>
        <w:t xml:space="preserve"> plot of all the data combined (using Harmony), colored by cell type (as identified in our automated pipeline).</w:t>
      </w:r>
    </w:p>
    <w:p w14:paraId="4C5B5FE1" w14:textId="77777777" w:rsidR="00D511BA" w:rsidRDefault="00D511BA">
      <w:pPr>
        <w:rPr>
          <w:color w:val="000000" w:themeColor="text1"/>
        </w:rPr>
      </w:pPr>
    </w:p>
    <w:p w14:paraId="687A2B6E" w14:textId="2D9EB429" w:rsidR="00D511BA" w:rsidRDefault="00007BF4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18F5E0F" wp14:editId="3F373ACA">
            <wp:extent cx="5943600" cy="2768600"/>
            <wp:effectExtent l="0" t="0" r="0" b="0"/>
            <wp:docPr id="1" name="Picture 1" descr="Screen%20Shot%202019-05-17%20at%202.29.4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9-05-17%20at%202.29.47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0FBFF" w14:textId="77777777" w:rsidR="00D511BA" w:rsidRDefault="00D511BA">
      <w:pPr>
        <w:rPr>
          <w:color w:val="000000" w:themeColor="text1"/>
        </w:rPr>
      </w:pPr>
    </w:p>
    <w:p w14:paraId="2F9F95FA" w14:textId="5404B8CA" w:rsidR="00E51B0B" w:rsidRDefault="00E51B0B" w:rsidP="00E51B0B">
      <w:pPr>
        <w:rPr>
          <w:color w:val="000000" w:themeColor="text1"/>
        </w:rPr>
      </w:pPr>
      <w:r>
        <w:rPr>
          <w:color w:val="000000" w:themeColor="text1"/>
        </w:rPr>
        <w:t>To view one dataset/method at a time, click the view options tab and choose another option: the sample name (PBMC1 or PBMC2) and followed by method name, which will show the t-SNE calculated on just those cells.</w:t>
      </w:r>
    </w:p>
    <w:p w14:paraId="148AD056" w14:textId="77777777" w:rsidR="00D511BA" w:rsidRDefault="006952A7">
      <w:pPr>
        <w:rPr>
          <w:color w:val="000000" w:themeColor="text1"/>
        </w:rPr>
      </w:pPr>
      <w:r>
        <w:rPr>
          <w:color w:val="000000" w:themeColor="text1"/>
        </w:rPr>
        <w:t xml:space="preserve"> </w:t>
      </w:r>
    </w:p>
    <w:p w14:paraId="2C673F12" w14:textId="0A5277D2" w:rsidR="006952A7" w:rsidRDefault="006952A7">
      <w:pPr>
        <w:rPr>
          <w:color w:val="000000" w:themeColor="text1"/>
        </w:rPr>
      </w:pPr>
    </w:p>
    <w:p w14:paraId="44B82F7F" w14:textId="2DFACBF1" w:rsidR="001651C7" w:rsidRDefault="00007BF4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1643EF5B" wp14:editId="33E13C5A">
            <wp:extent cx="5935345" cy="2717800"/>
            <wp:effectExtent l="0" t="0" r="8255" b="0"/>
            <wp:docPr id="3" name="Picture 3" descr="Screen%20Shot%202019-05-17%20at%202.30.0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9-05-17%20at%202.30.06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2F4F9" w14:textId="77777777" w:rsidR="001651C7" w:rsidRDefault="001651C7">
      <w:pPr>
        <w:rPr>
          <w:color w:val="000000" w:themeColor="text1"/>
        </w:rPr>
      </w:pPr>
    </w:p>
    <w:p w14:paraId="358B4D0F" w14:textId="71CEFEFA" w:rsidR="00E51B0B" w:rsidRDefault="00E51B0B" w:rsidP="00E51B0B">
      <w:pPr>
        <w:rPr>
          <w:color w:val="000000" w:themeColor="text1"/>
        </w:rPr>
      </w:pPr>
      <w:r>
        <w:rPr>
          <w:color w:val="000000" w:themeColor="text1"/>
        </w:rPr>
        <w:t>Similarly, one can switch from the select annotation to another annotation you want displayed, including number of genes, number of UMIs (=number of reads for Smart-seq2), batch (PBMC1 vs PBMC2), etc.</w:t>
      </w:r>
    </w:p>
    <w:p w14:paraId="03FA8F19" w14:textId="76AF8C87" w:rsidR="006952A7" w:rsidRDefault="006952A7">
      <w:pPr>
        <w:rPr>
          <w:color w:val="000000" w:themeColor="text1"/>
        </w:rPr>
      </w:pPr>
    </w:p>
    <w:p w14:paraId="3E505DD7" w14:textId="67FA5A08" w:rsidR="006952A7" w:rsidRDefault="00007BF4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D4ABB8C" wp14:editId="0BFC4547">
            <wp:extent cx="5935345" cy="2709545"/>
            <wp:effectExtent l="0" t="0" r="8255" b="8255"/>
            <wp:docPr id="4" name="Picture 4" descr="Screen%20Shot%202019-05-17%20at%202.30.1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9-05-17%20at%202.30.15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CA14A" w14:textId="77777777" w:rsidR="001651C7" w:rsidRDefault="001651C7">
      <w:pPr>
        <w:rPr>
          <w:color w:val="000000" w:themeColor="text1"/>
        </w:rPr>
      </w:pPr>
    </w:p>
    <w:p w14:paraId="2C2CDDF1" w14:textId="2894E96B" w:rsidR="006952A7" w:rsidRDefault="00FE23C1">
      <w:pPr>
        <w:rPr>
          <w:color w:val="000000" w:themeColor="text1"/>
        </w:rPr>
      </w:pPr>
      <w:r>
        <w:rPr>
          <w:color w:val="000000" w:themeColor="text1"/>
        </w:rPr>
        <w:t>One c</w:t>
      </w:r>
      <w:r w:rsidR="006952A7">
        <w:rPr>
          <w:color w:val="000000" w:themeColor="text1"/>
        </w:rPr>
        <w:t xml:space="preserve">an </w:t>
      </w:r>
      <w:r>
        <w:rPr>
          <w:color w:val="000000" w:themeColor="text1"/>
        </w:rPr>
        <w:t>use</w:t>
      </w:r>
      <w:r w:rsidR="006952A7">
        <w:rPr>
          <w:color w:val="000000" w:themeColor="text1"/>
        </w:rPr>
        <w:t xml:space="preserve"> the download tab to download the data. </w:t>
      </w:r>
      <w:r w:rsidR="00E51B0B">
        <w:rPr>
          <w:color w:val="000000" w:themeColor="text1"/>
        </w:rPr>
        <w:t>This includes the combined log counts per 10,000 matrix</w:t>
      </w:r>
      <w:r w:rsidR="00E51B0B" w:rsidDel="00E51B0B">
        <w:rPr>
          <w:color w:val="000000" w:themeColor="text1"/>
        </w:rPr>
        <w:t xml:space="preserve"> </w:t>
      </w:r>
      <w:r w:rsidR="006952A7">
        <w:rPr>
          <w:color w:val="000000" w:themeColor="text1"/>
        </w:rPr>
        <w:t>(</w:t>
      </w:r>
      <w:r w:rsidR="006952A7" w:rsidRPr="006952A7">
        <w:rPr>
          <w:color w:val="000000" w:themeColor="text1"/>
        </w:rPr>
        <w:t>gene_sorted-Expression.txt</w:t>
      </w:r>
      <w:r w:rsidR="006952A7">
        <w:rPr>
          <w:color w:val="000000" w:themeColor="text1"/>
        </w:rPr>
        <w:t xml:space="preserve"> in MM format, with</w:t>
      </w:r>
      <w:r w:rsidR="006952A7" w:rsidRPr="006952A7">
        <w:t xml:space="preserve"> </w:t>
      </w:r>
      <w:r w:rsidR="006952A7" w:rsidRPr="006952A7">
        <w:rPr>
          <w:color w:val="000000" w:themeColor="text1"/>
        </w:rPr>
        <w:t>barcodes.txt</w:t>
      </w:r>
      <w:r w:rsidR="006952A7">
        <w:rPr>
          <w:color w:val="000000" w:themeColor="text1"/>
        </w:rPr>
        <w:t xml:space="preserve"> the cell names and genes.txt the gene information), the raw UMI count and Read count data (in compressed MM format, with </w:t>
      </w:r>
      <w:r w:rsidR="00C211F2">
        <w:rPr>
          <w:color w:val="000000" w:themeColor="text1"/>
        </w:rPr>
        <w:t>counts.umi</w:t>
      </w:r>
      <w:r w:rsidR="006952A7" w:rsidRPr="006952A7">
        <w:rPr>
          <w:color w:val="000000" w:themeColor="text1"/>
        </w:rPr>
        <w:t>.txt.gz</w:t>
      </w:r>
      <w:r w:rsidR="006952A7">
        <w:rPr>
          <w:color w:val="000000" w:themeColor="text1"/>
        </w:rPr>
        <w:t xml:space="preserve"> and </w:t>
      </w:r>
      <w:r w:rsidR="00C211F2">
        <w:rPr>
          <w:color w:val="000000" w:themeColor="text1"/>
        </w:rPr>
        <w:t>counts.reads.</w:t>
      </w:r>
      <w:r w:rsidR="006952A7" w:rsidRPr="006952A7">
        <w:rPr>
          <w:color w:val="000000" w:themeColor="text1"/>
        </w:rPr>
        <w:t>txt.gz</w:t>
      </w:r>
      <w:r w:rsidR="006952A7">
        <w:rPr>
          <w:color w:val="000000" w:themeColor="text1"/>
        </w:rPr>
        <w:t>, with</w:t>
      </w:r>
      <w:r w:rsidR="001651C7">
        <w:rPr>
          <w:color w:val="000000" w:themeColor="text1"/>
        </w:rPr>
        <w:t xml:space="preserve"> the </w:t>
      </w:r>
      <w:r w:rsidR="00C211F2">
        <w:rPr>
          <w:color w:val="000000" w:themeColor="text1"/>
        </w:rPr>
        <w:t>gen names genes.umi.txt and genes.read.txt</w:t>
      </w:r>
      <w:r w:rsidR="001651C7">
        <w:rPr>
          <w:color w:val="000000" w:themeColor="text1"/>
        </w:rPr>
        <w:t xml:space="preserve">, and cell names </w:t>
      </w:r>
      <w:r w:rsidR="00C211F2">
        <w:rPr>
          <w:color w:val="000000" w:themeColor="text1"/>
        </w:rPr>
        <w:t>cells.umi</w:t>
      </w:r>
      <w:r w:rsidR="001651C7" w:rsidRPr="001651C7">
        <w:rPr>
          <w:color w:val="000000" w:themeColor="text1"/>
        </w:rPr>
        <w:t>.txt</w:t>
      </w:r>
      <w:r w:rsidR="001651C7">
        <w:rPr>
          <w:color w:val="000000" w:themeColor="text1"/>
        </w:rPr>
        <w:t xml:space="preserve"> and </w:t>
      </w:r>
      <w:r w:rsidR="00C211F2" w:rsidRPr="001651C7">
        <w:rPr>
          <w:color w:val="000000" w:themeColor="text1"/>
        </w:rPr>
        <w:t>cell</w:t>
      </w:r>
      <w:r w:rsidR="00C211F2">
        <w:rPr>
          <w:color w:val="000000" w:themeColor="text1"/>
        </w:rPr>
        <w:t>s</w:t>
      </w:r>
      <w:r w:rsidR="001651C7" w:rsidRPr="001651C7">
        <w:rPr>
          <w:color w:val="000000" w:themeColor="text1"/>
        </w:rPr>
        <w:t>.</w:t>
      </w:r>
      <w:r w:rsidR="00C211F2">
        <w:rPr>
          <w:color w:val="000000" w:themeColor="text1"/>
        </w:rPr>
        <w:t>reads</w:t>
      </w:r>
      <w:r w:rsidR="001651C7" w:rsidRPr="001651C7">
        <w:rPr>
          <w:color w:val="000000" w:themeColor="text1"/>
        </w:rPr>
        <w:t>.txt</w:t>
      </w:r>
      <w:r w:rsidR="001651C7">
        <w:rPr>
          <w:color w:val="000000" w:themeColor="text1"/>
        </w:rPr>
        <w:t xml:space="preserve">), as well as an annotation file </w:t>
      </w:r>
      <w:r w:rsidR="005A7604">
        <w:rPr>
          <w:color w:val="000000" w:themeColor="text1"/>
        </w:rPr>
        <w:t>describing</w:t>
      </w:r>
      <w:r w:rsidR="001651C7">
        <w:rPr>
          <w:color w:val="000000" w:themeColor="text1"/>
        </w:rPr>
        <w:t xml:space="preserve"> what experiment/method each cell in the count data comes from (</w:t>
      </w:r>
      <w:r w:rsidR="001651C7" w:rsidRPr="001651C7">
        <w:rPr>
          <w:color w:val="000000" w:themeColor="text1"/>
        </w:rPr>
        <w:t>Count.cell.annotation.txt</w:t>
      </w:r>
      <w:r w:rsidR="001651C7">
        <w:rPr>
          <w:color w:val="000000" w:themeColor="text1"/>
        </w:rPr>
        <w:t xml:space="preserve">). </w:t>
      </w:r>
      <w:r w:rsidR="00A1080E">
        <w:rPr>
          <w:color w:val="000000" w:themeColor="text1"/>
        </w:rPr>
        <w:t>V</w:t>
      </w:r>
      <w:r w:rsidR="001651C7">
        <w:rPr>
          <w:color w:val="000000" w:themeColor="text1"/>
        </w:rPr>
        <w:t xml:space="preserve">arious </w:t>
      </w:r>
      <w:r w:rsidR="002A3CA3">
        <w:rPr>
          <w:color w:val="000000" w:themeColor="text1"/>
        </w:rPr>
        <w:t>t</w:t>
      </w:r>
      <w:r w:rsidR="005A7604">
        <w:rPr>
          <w:color w:val="000000" w:themeColor="text1"/>
        </w:rPr>
        <w:t>-</w:t>
      </w:r>
      <w:r w:rsidR="002A3CA3">
        <w:rPr>
          <w:color w:val="000000" w:themeColor="text1"/>
        </w:rPr>
        <w:t>SNE</w:t>
      </w:r>
      <w:r w:rsidR="007D2176">
        <w:rPr>
          <w:color w:val="000000" w:themeColor="text1"/>
        </w:rPr>
        <w:t xml:space="preserve"> </w:t>
      </w:r>
      <w:r w:rsidR="006952A7">
        <w:rPr>
          <w:color w:val="000000" w:themeColor="text1"/>
        </w:rPr>
        <w:t>plots and the metadata</w:t>
      </w:r>
      <w:r w:rsidR="00A1080E">
        <w:rPr>
          <w:color w:val="000000" w:themeColor="text1"/>
        </w:rPr>
        <w:t xml:space="preserve"> can be downloaded as well</w:t>
      </w:r>
      <w:r w:rsidR="006952A7">
        <w:rPr>
          <w:color w:val="000000" w:themeColor="text1"/>
        </w:rPr>
        <w:t>.</w:t>
      </w:r>
    </w:p>
    <w:p w14:paraId="5966143E" w14:textId="77777777" w:rsidR="007B771E" w:rsidRDefault="007B771E">
      <w:pPr>
        <w:rPr>
          <w:color w:val="000000" w:themeColor="text1"/>
        </w:rPr>
      </w:pPr>
    </w:p>
    <w:p w14:paraId="3813AAAE" w14:textId="658798DF" w:rsidR="007B771E" w:rsidRDefault="007B771E">
      <w:pPr>
        <w:rPr>
          <w:color w:val="000000" w:themeColor="text1"/>
        </w:rPr>
      </w:pPr>
      <w:r>
        <w:rPr>
          <w:color w:val="000000" w:themeColor="text1"/>
        </w:rPr>
        <w:t>A full list of files and short descriptions are available under the Download tab.</w:t>
      </w:r>
    </w:p>
    <w:p w14:paraId="064690DA" w14:textId="77777777" w:rsidR="00FD1FCC" w:rsidRPr="002A7822" w:rsidRDefault="00FD1FCC" w:rsidP="00FD1FCC">
      <w:pPr>
        <w:outlineLvl w:val="0"/>
        <w:rPr>
          <w:rFonts w:ascii="Times New Roman" w:eastAsia="Times New Roman" w:hAnsi="Times New Roman" w:cs="Times New Roman"/>
          <w:b/>
          <w:i/>
          <w:sz w:val="40"/>
          <w:szCs w:val="40"/>
        </w:rPr>
      </w:pPr>
      <w:r w:rsidRPr="002A7822">
        <w:rPr>
          <w:rFonts w:ascii="Times New Roman" w:eastAsia="Times New Roman" w:hAnsi="Times New Roman" w:cs="Times New Roman"/>
          <w:b/>
          <w:i/>
          <w:sz w:val="40"/>
          <w:szCs w:val="40"/>
        </w:rPr>
        <w:lastRenderedPageBreak/>
        <w:t>Expression data description:</w:t>
      </w:r>
    </w:p>
    <w:p w14:paraId="4E73640D" w14:textId="77777777" w:rsidR="00FD1FCC" w:rsidRDefault="00FD1FCC">
      <w:pPr>
        <w:rPr>
          <w:color w:val="000000" w:themeColor="text1"/>
        </w:rPr>
      </w:pPr>
    </w:p>
    <w:p w14:paraId="57C9B5DC" w14:textId="77777777" w:rsidR="00FD1FCC" w:rsidRDefault="00FD1FCC">
      <w:pPr>
        <w:rPr>
          <w:color w:val="000000" w:themeColor="text1"/>
        </w:rPr>
      </w:pPr>
    </w:p>
    <w:p w14:paraId="69E358F0" w14:textId="51148BC0" w:rsidR="00FD1FCC" w:rsidRPr="00FD1FCC" w:rsidRDefault="00FD1FCC" w:rsidP="00FD1FCC">
      <w:pPr>
        <w:rPr>
          <w:rFonts w:ascii="Times New Roman" w:eastAsia="Times New Roman" w:hAnsi="Times New Roman" w:cs="Times New Roman"/>
        </w:rPr>
      </w:pPr>
      <w:r w:rsidRPr="00090C06">
        <w:rPr>
          <w:rFonts w:ascii="Times New Roman" w:eastAsia="Times New Roman" w:hAnsi="Times New Roman" w:cs="Times New Roman"/>
          <w:b/>
        </w:rPr>
        <w:t>Description:</w:t>
      </w:r>
      <w:r>
        <w:rPr>
          <w:rFonts w:ascii="Times New Roman" w:eastAsia="Times New Roman" w:hAnsi="Times New Roman" w:cs="Times New Roman"/>
        </w:rPr>
        <w:t xml:space="preserve"> </w:t>
      </w:r>
      <w:r w:rsidRPr="00FD1FCC">
        <w:rPr>
          <w:rFonts w:ascii="Times New Roman" w:eastAsia="Times New Roman" w:hAnsi="Times New Roman" w:cs="Times New Roman"/>
        </w:rPr>
        <w:t xml:space="preserve">UMI count data, used for QC metrics in paper for UMI based methods, in MM format. </w:t>
      </w:r>
    </w:p>
    <w:p w14:paraId="51D7EE44" w14:textId="77777777" w:rsidR="00FD1FCC" w:rsidRPr="00FD1FCC" w:rsidRDefault="00FD1FCC" w:rsidP="00FD1FCC">
      <w:pPr>
        <w:rPr>
          <w:rFonts w:ascii="Times New Roman" w:eastAsia="Times New Roman" w:hAnsi="Times New Roman" w:cs="Times New Roman"/>
        </w:rPr>
      </w:pPr>
      <w:r w:rsidRPr="004965E5">
        <w:rPr>
          <w:rFonts w:ascii="Times New Roman" w:eastAsia="Times New Roman" w:hAnsi="Times New Roman" w:cs="Times New Roman"/>
          <w:b/>
        </w:rPr>
        <w:t>Matrix:</w:t>
      </w:r>
      <w:r w:rsidRPr="00FD1FCC">
        <w:rPr>
          <w:rFonts w:ascii="Times New Roman" w:eastAsia="Times New Roman" w:hAnsi="Times New Roman" w:cs="Times New Roman"/>
        </w:rPr>
        <w:t xml:space="preserve"> counts.umi.txt.gz</w:t>
      </w:r>
    </w:p>
    <w:p w14:paraId="63DC82F0" w14:textId="565E52E3" w:rsidR="00FD1FCC" w:rsidRPr="00FD1FCC" w:rsidRDefault="00FD1FCC" w:rsidP="00FD1FCC">
      <w:pPr>
        <w:rPr>
          <w:rFonts w:ascii="Times New Roman" w:eastAsia="Times New Roman" w:hAnsi="Times New Roman" w:cs="Times New Roman"/>
        </w:rPr>
      </w:pPr>
      <w:proofErr w:type="spellStart"/>
      <w:r w:rsidRPr="004965E5">
        <w:rPr>
          <w:rFonts w:ascii="Times New Roman" w:eastAsia="Times New Roman" w:hAnsi="Times New Roman" w:cs="Times New Roman"/>
          <w:b/>
        </w:rPr>
        <w:t>Colnames</w:t>
      </w:r>
      <w:proofErr w:type="spellEnd"/>
      <w:r w:rsidRPr="004965E5">
        <w:rPr>
          <w:rFonts w:ascii="Times New Roman" w:eastAsia="Times New Roman" w:hAnsi="Times New Roman" w:cs="Times New Roman"/>
          <w:b/>
        </w:rPr>
        <w:t xml:space="preserve"> (cells): </w:t>
      </w:r>
      <w:r w:rsidRPr="00FD1FCC">
        <w:rPr>
          <w:rFonts w:ascii="Times New Roman" w:eastAsia="Times New Roman" w:hAnsi="Times New Roman" w:cs="Times New Roman"/>
        </w:rPr>
        <w:t>cells.umi</w:t>
      </w:r>
      <w:r w:rsidR="00E3236A">
        <w:rPr>
          <w:rFonts w:ascii="Times New Roman" w:eastAsia="Times New Roman" w:hAnsi="Times New Roman" w:cs="Times New Roman"/>
        </w:rPr>
        <w:t>.new</w:t>
      </w:r>
      <w:r w:rsidRPr="00FD1FCC">
        <w:rPr>
          <w:rFonts w:ascii="Times New Roman" w:eastAsia="Times New Roman" w:hAnsi="Times New Roman" w:cs="Times New Roman"/>
        </w:rPr>
        <w:t>.txt</w:t>
      </w:r>
    </w:p>
    <w:p w14:paraId="1D982208" w14:textId="77777777" w:rsidR="00FD1FCC" w:rsidRPr="00FD1FCC" w:rsidRDefault="00FD1FCC" w:rsidP="00FD1FCC">
      <w:pPr>
        <w:rPr>
          <w:rFonts w:ascii="Times New Roman" w:eastAsia="Times New Roman" w:hAnsi="Times New Roman" w:cs="Times New Roman"/>
        </w:rPr>
      </w:pPr>
      <w:proofErr w:type="spellStart"/>
      <w:r w:rsidRPr="004965E5">
        <w:rPr>
          <w:rFonts w:ascii="Times New Roman" w:eastAsia="Times New Roman" w:hAnsi="Times New Roman" w:cs="Times New Roman"/>
          <w:b/>
        </w:rPr>
        <w:t>Rownames</w:t>
      </w:r>
      <w:proofErr w:type="spellEnd"/>
      <w:r w:rsidRPr="004965E5">
        <w:rPr>
          <w:rFonts w:ascii="Times New Roman" w:eastAsia="Times New Roman" w:hAnsi="Times New Roman" w:cs="Times New Roman"/>
          <w:b/>
        </w:rPr>
        <w:t xml:space="preserve"> (genes):</w:t>
      </w:r>
      <w:r w:rsidRPr="00FD1FCC">
        <w:rPr>
          <w:rFonts w:ascii="Times New Roman" w:eastAsia="Times New Roman" w:hAnsi="Times New Roman" w:cs="Times New Roman"/>
        </w:rPr>
        <w:t xml:space="preserve"> genes.umi.txt</w:t>
      </w:r>
    </w:p>
    <w:p w14:paraId="705E5582" w14:textId="6DA51119" w:rsidR="00FD1FCC" w:rsidRPr="00FD1FCC" w:rsidRDefault="00FD1FCC" w:rsidP="00FD1FCC">
      <w:pPr>
        <w:rPr>
          <w:rFonts w:ascii="Times New Roman" w:eastAsia="Times New Roman" w:hAnsi="Times New Roman" w:cs="Times New Roman"/>
        </w:rPr>
      </w:pPr>
      <w:r w:rsidRPr="004965E5">
        <w:rPr>
          <w:rFonts w:ascii="Times New Roman" w:eastAsia="Times New Roman" w:hAnsi="Times New Roman" w:cs="Times New Roman"/>
          <w:b/>
        </w:rPr>
        <w:t>Metadata:</w:t>
      </w:r>
      <w:r w:rsidRPr="00FD1FCC">
        <w:rPr>
          <w:rFonts w:ascii="Times New Roman" w:eastAsia="Times New Roman" w:hAnsi="Times New Roman" w:cs="Times New Roman"/>
        </w:rPr>
        <w:t xml:space="preserve"> </w:t>
      </w:r>
      <w:r w:rsidR="00E3236A" w:rsidRPr="00E3236A"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9F9F9"/>
        </w:rPr>
        <w:t>meta.counts</w:t>
      </w:r>
      <w:r w:rsidR="00E3236A"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9F9F9"/>
        </w:rPr>
        <w:t>.new</w:t>
      </w:r>
      <w:r w:rsidR="00E3236A" w:rsidRPr="00E3236A"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9F9F9"/>
        </w:rPr>
        <w:t>.txt</w:t>
      </w:r>
    </w:p>
    <w:p w14:paraId="6E035CCD" w14:textId="77777777" w:rsidR="00FD1FCC" w:rsidRPr="00FD1FCC" w:rsidRDefault="00FD1FCC" w:rsidP="00FD1FCC">
      <w:pPr>
        <w:rPr>
          <w:rFonts w:ascii="Times New Roman" w:eastAsia="Times New Roman" w:hAnsi="Times New Roman" w:cs="Times New Roman"/>
        </w:rPr>
      </w:pPr>
    </w:p>
    <w:p w14:paraId="039E6AA3" w14:textId="05CE2956" w:rsidR="00FD1FCC" w:rsidRPr="00FD1FCC" w:rsidRDefault="00FD1FCC" w:rsidP="00FD1FCC">
      <w:pPr>
        <w:rPr>
          <w:rFonts w:ascii="Times New Roman" w:eastAsia="Times New Roman" w:hAnsi="Times New Roman" w:cs="Times New Roman"/>
        </w:rPr>
      </w:pPr>
      <w:r w:rsidRPr="00090C06">
        <w:rPr>
          <w:rFonts w:ascii="Times New Roman" w:eastAsia="Times New Roman" w:hAnsi="Times New Roman" w:cs="Times New Roman"/>
          <w:b/>
        </w:rPr>
        <w:t>Description:</w:t>
      </w:r>
      <w:r>
        <w:rPr>
          <w:rFonts w:ascii="Times New Roman" w:eastAsia="Times New Roman" w:hAnsi="Times New Roman" w:cs="Times New Roman"/>
        </w:rPr>
        <w:t xml:space="preserve"> </w:t>
      </w:r>
      <w:r w:rsidRPr="00FD1FCC">
        <w:rPr>
          <w:rFonts w:ascii="Times New Roman" w:eastAsia="Times New Roman" w:hAnsi="Times New Roman" w:cs="Times New Roman"/>
        </w:rPr>
        <w:t xml:space="preserve">Read count data, used for Smart-seq2 QC metrics in paper, in MM format. </w:t>
      </w:r>
    </w:p>
    <w:p w14:paraId="6F6DA563" w14:textId="77777777" w:rsidR="00FD1FCC" w:rsidRPr="00FD1FCC" w:rsidRDefault="00FD1FCC" w:rsidP="00FD1FCC">
      <w:pPr>
        <w:rPr>
          <w:rFonts w:ascii="Times New Roman" w:eastAsia="Times New Roman" w:hAnsi="Times New Roman" w:cs="Times New Roman"/>
        </w:rPr>
      </w:pPr>
      <w:r w:rsidRPr="004965E5">
        <w:rPr>
          <w:rFonts w:ascii="Times New Roman" w:eastAsia="Times New Roman" w:hAnsi="Times New Roman" w:cs="Times New Roman"/>
          <w:b/>
        </w:rPr>
        <w:t xml:space="preserve">Matrix: </w:t>
      </w:r>
      <w:r w:rsidRPr="00FD1FCC">
        <w:rPr>
          <w:rFonts w:ascii="Times New Roman" w:eastAsia="Times New Roman" w:hAnsi="Times New Roman" w:cs="Times New Roman"/>
        </w:rPr>
        <w:t>counts.read.txt.gz</w:t>
      </w:r>
    </w:p>
    <w:p w14:paraId="5C6EAD51" w14:textId="065A6EEE" w:rsidR="00FD1FCC" w:rsidRPr="00FD1FCC" w:rsidRDefault="00FD1FCC" w:rsidP="00FD1FCC">
      <w:pPr>
        <w:rPr>
          <w:rFonts w:ascii="Times New Roman" w:eastAsia="Times New Roman" w:hAnsi="Times New Roman" w:cs="Times New Roman"/>
        </w:rPr>
      </w:pPr>
      <w:proofErr w:type="spellStart"/>
      <w:r w:rsidRPr="004965E5">
        <w:rPr>
          <w:rFonts w:ascii="Times New Roman" w:eastAsia="Times New Roman" w:hAnsi="Times New Roman" w:cs="Times New Roman"/>
          <w:b/>
        </w:rPr>
        <w:t>Colnames</w:t>
      </w:r>
      <w:proofErr w:type="spellEnd"/>
      <w:r w:rsidRPr="004965E5">
        <w:rPr>
          <w:rFonts w:ascii="Times New Roman" w:eastAsia="Times New Roman" w:hAnsi="Times New Roman" w:cs="Times New Roman"/>
          <w:b/>
        </w:rPr>
        <w:t xml:space="preserve"> (cells):</w:t>
      </w:r>
      <w:r w:rsidRPr="00FD1FCC">
        <w:rPr>
          <w:rFonts w:ascii="Times New Roman" w:eastAsia="Times New Roman" w:hAnsi="Times New Roman" w:cs="Times New Roman"/>
        </w:rPr>
        <w:t xml:space="preserve"> cells.read</w:t>
      </w:r>
      <w:r w:rsidR="00E3236A">
        <w:rPr>
          <w:rFonts w:ascii="Times New Roman" w:eastAsia="Times New Roman" w:hAnsi="Times New Roman" w:cs="Times New Roman"/>
        </w:rPr>
        <w:t>.new</w:t>
      </w:r>
      <w:r w:rsidRPr="00FD1FCC">
        <w:rPr>
          <w:rFonts w:ascii="Times New Roman" w:eastAsia="Times New Roman" w:hAnsi="Times New Roman" w:cs="Times New Roman"/>
        </w:rPr>
        <w:t>.txt</w:t>
      </w:r>
    </w:p>
    <w:p w14:paraId="1CFBDB10" w14:textId="77777777" w:rsidR="00FD1FCC" w:rsidRPr="00FD1FCC" w:rsidRDefault="00FD1FCC" w:rsidP="00FD1FCC">
      <w:pPr>
        <w:rPr>
          <w:rFonts w:ascii="Times New Roman" w:eastAsia="Times New Roman" w:hAnsi="Times New Roman" w:cs="Times New Roman"/>
        </w:rPr>
      </w:pPr>
      <w:proofErr w:type="spellStart"/>
      <w:r w:rsidRPr="004965E5">
        <w:rPr>
          <w:rFonts w:ascii="Times New Roman" w:eastAsia="Times New Roman" w:hAnsi="Times New Roman" w:cs="Times New Roman"/>
          <w:b/>
        </w:rPr>
        <w:t>Rownames</w:t>
      </w:r>
      <w:proofErr w:type="spellEnd"/>
      <w:r w:rsidRPr="004965E5">
        <w:rPr>
          <w:rFonts w:ascii="Times New Roman" w:eastAsia="Times New Roman" w:hAnsi="Times New Roman" w:cs="Times New Roman"/>
          <w:b/>
        </w:rPr>
        <w:t xml:space="preserve"> (genes):</w:t>
      </w:r>
      <w:r w:rsidRPr="00FD1FCC">
        <w:rPr>
          <w:rFonts w:ascii="Times New Roman" w:eastAsia="Times New Roman" w:hAnsi="Times New Roman" w:cs="Times New Roman"/>
        </w:rPr>
        <w:t xml:space="preserve"> genes.read.txt</w:t>
      </w:r>
    </w:p>
    <w:p w14:paraId="050FB81A" w14:textId="4B65871F" w:rsidR="00FD1FCC" w:rsidRPr="00FD1FCC" w:rsidRDefault="00FD1FCC" w:rsidP="00FD1FCC">
      <w:pPr>
        <w:rPr>
          <w:rFonts w:ascii="Times New Roman" w:eastAsia="Times New Roman" w:hAnsi="Times New Roman" w:cs="Times New Roman"/>
        </w:rPr>
      </w:pPr>
      <w:r w:rsidRPr="004965E5">
        <w:rPr>
          <w:rFonts w:ascii="Times New Roman" w:eastAsia="Times New Roman" w:hAnsi="Times New Roman" w:cs="Times New Roman"/>
          <w:b/>
        </w:rPr>
        <w:t>Metadata:</w:t>
      </w:r>
      <w:r w:rsidRPr="00FD1FCC">
        <w:rPr>
          <w:rFonts w:ascii="Times New Roman" w:eastAsia="Times New Roman" w:hAnsi="Times New Roman" w:cs="Times New Roman"/>
        </w:rPr>
        <w:t xml:space="preserve"> </w:t>
      </w:r>
      <w:r w:rsidR="00E3236A" w:rsidRPr="00E3236A"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9F9F9"/>
        </w:rPr>
        <w:t>meta.counts.</w:t>
      </w:r>
      <w:r w:rsidR="00E3236A"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9F9F9"/>
        </w:rPr>
        <w:t>new</w:t>
      </w:r>
      <w:bookmarkStart w:id="0" w:name="_GoBack"/>
      <w:bookmarkEnd w:id="0"/>
      <w:r w:rsidR="00E3236A"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9F9F9"/>
        </w:rPr>
        <w:t>.</w:t>
      </w:r>
      <w:r w:rsidR="00E3236A" w:rsidRPr="00E3236A"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9F9F9"/>
        </w:rPr>
        <w:t>txt</w:t>
      </w:r>
    </w:p>
    <w:p w14:paraId="47167544" w14:textId="77777777" w:rsidR="00FD1FCC" w:rsidRPr="00FD1FCC" w:rsidRDefault="00FD1FCC" w:rsidP="00FD1FCC">
      <w:pPr>
        <w:rPr>
          <w:rFonts w:ascii="Times New Roman" w:eastAsia="Times New Roman" w:hAnsi="Times New Roman" w:cs="Times New Roman"/>
        </w:rPr>
      </w:pPr>
    </w:p>
    <w:p w14:paraId="23A3FBF9" w14:textId="73CB7413" w:rsidR="00FD1FCC" w:rsidRPr="00FD1FCC" w:rsidRDefault="00FD1FCC" w:rsidP="00FD1FCC">
      <w:pPr>
        <w:rPr>
          <w:rFonts w:ascii="Times New Roman" w:eastAsia="Times New Roman" w:hAnsi="Times New Roman" w:cs="Times New Roman"/>
        </w:rPr>
      </w:pPr>
      <w:r w:rsidRPr="00090C06">
        <w:rPr>
          <w:rFonts w:ascii="Times New Roman" w:eastAsia="Times New Roman" w:hAnsi="Times New Roman" w:cs="Times New Roman"/>
          <w:b/>
        </w:rPr>
        <w:t>Description:</w:t>
      </w:r>
      <w:r>
        <w:rPr>
          <w:rFonts w:ascii="Times New Roman" w:eastAsia="Times New Roman" w:hAnsi="Times New Roman" w:cs="Times New Roman"/>
        </w:rPr>
        <w:t xml:space="preserve"> </w:t>
      </w:r>
      <w:r w:rsidRPr="00FD1FCC">
        <w:rPr>
          <w:rFonts w:ascii="Times New Roman" w:eastAsia="Times New Roman" w:hAnsi="Times New Roman" w:cs="Times New Roman"/>
        </w:rPr>
        <w:t>Log counts per 10K (reads for Smart-seq2, UMI</w:t>
      </w:r>
      <w:r w:rsidR="005A7604">
        <w:rPr>
          <w:rFonts w:ascii="Times New Roman" w:eastAsia="Times New Roman" w:hAnsi="Times New Roman" w:cs="Times New Roman"/>
        </w:rPr>
        <w:t>s</w:t>
      </w:r>
      <w:r w:rsidRPr="00FD1FCC">
        <w:rPr>
          <w:rFonts w:ascii="Times New Roman" w:eastAsia="Times New Roman" w:hAnsi="Times New Roman" w:cs="Times New Roman"/>
        </w:rPr>
        <w:t xml:space="preserve"> for the rest), used for clustering/</w:t>
      </w:r>
      <w:r w:rsidR="005A7604">
        <w:rPr>
          <w:rFonts w:ascii="Times New Roman" w:eastAsia="Times New Roman" w:hAnsi="Times New Roman" w:cs="Times New Roman"/>
        </w:rPr>
        <w:t>t-SNE</w:t>
      </w:r>
      <w:r w:rsidR="005A7604" w:rsidRPr="00FD1FCC">
        <w:rPr>
          <w:rFonts w:ascii="Times New Roman" w:eastAsia="Times New Roman" w:hAnsi="Times New Roman" w:cs="Times New Roman"/>
        </w:rPr>
        <w:t xml:space="preserve"> </w:t>
      </w:r>
      <w:r w:rsidRPr="00FD1FCC">
        <w:rPr>
          <w:rFonts w:ascii="Times New Roman" w:eastAsia="Times New Roman" w:hAnsi="Times New Roman" w:cs="Times New Roman"/>
        </w:rPr>
        <w:t xml:space="preserve">in paper (except for Smart-seq2 which uses TPM from RSEM), used for all methods in the Harmony clustering, and for looking up expression in the portal, in MM format. </w:t>
      </w:r>
    </w:p>
    <w:p w14:paraId="65063EC5" w14:textId="77777777" w:rsidR="00FD1FCC" w:rsidRPr="00FD1FCC" w:rsidRDefault="00FD1FCC" w:rsidP="00FD1FCC">
      <w:pPr>
        <w:rPr>
          <w:rFonts w:ascii="Times New Roman" w:eastAsia="Times New Roman" w:hAnsi="Times New Roman" w:cs="Times New Roman"/>
        </w:rPr>
      </w:pPr>
      <w:r w:rsidRPr="004965E5">
        <w:rPr>
          <w:rFonts w:ascii="Times New Roman" w:eastAsia="Times New Roman" w:hAnsi="Times New Roman" w:cs="Times New Roman"/>
          <w:b/>
        </w:rPr>
        <w:t>Matrix:</w:t>
      </w:r>
      <w:r w:rsidRPr="00FD1FCC">
        <w:rPr>
          <w:rFonts w:ascii="Times New Roman" w:eastAsia="Times New Roman" w:hAnsi="Times New Roman" w:cs="Times New Roman"/>
        </w:rPr>
        <w:t xml:space="preserve"> gene_sorted-Expression.txt</w:t>
      </w:r>
    </w:p>
    <w:p w14:paraId="3BA2F810" w14:textId="77777777" w:rsidR="00FD1FCC" w:rsidRPr="00FD1FCC" w:rsidRDefault="00FD1FCC" w:rsidP="00FD1FCC">
      <w:pPr>
        <w:rPr>
          <w:rFonts w:ascii="Times New Roman" w:eastAsia="Times New Roman" w:hAnsi="Times New Roman" w:cs="Times New Roman"/>
        </w:rPr>
      </w:pPr>
      <w:proofErr w:type="spellStart"/>
      <w:r w:rsidRPr="004965E5">
        <w:rPr>
          <w:rFonts w:ascii="Times New Roman" w:eastAsia="Times New Roman" w:hAnsi="Times New Roman" w:cs="Times New Roman"/>
          <w:b/>
        </w:rPr>
        <w:t>Colnames</w:t>
      </w:r>
      <w:proofErr w:type="spellEnd"/>
      <w:r w:rsidRPr="004965E5">
        <w:rPr>
          <w:rFonts w:ascii="Times New Roman" w:eastAsia="Times New Roman" w:hAnsi="Times New Roman" w:cs="Times New Roman"/>
          <w:b/>
        </w:rPr>
        <w:t xml:space="preserve"> (cells):</w:t>
      </w:r>
      <w:r w:rsidRPr="00FD1FCC">
        <w:rPr>
          <w:rFonts w:ascii="Times New Roman" w:eastAsia="Times New Roman" w:hAnsi="Times New Roman" w:cs="Times New Roman"/>
        </w:rPr>
        <w:t xml:space="preserve"> barcodes.txt</w:t>
      </w:r>
    </w:p>
    <w:p w14:paraId="7613583F" w14:textId="77777777" w:rsidR="00FD1FCC" w:rsidRPr="00FD1FCC" w:rsidRDefault="00FD1FCC" w:rsidP="00FD1FCC">
      <w:pPr>
        <w:rPr>
          <w:rFonts w:ascii="Times New Roman" w:eastAsia="Times New Roman" w:hAnsi="Times New Roman" w:cs="Times New Roman"/>
        </w:rPr>
      </w:pPr>
      <w:proofErr w:type="spellStart"/>
      <w:r w:rsidRPr="004965E5">
        <w:rPr>
          <w:rFonts w:ascii="Times New Roman" w:eastAsia="Times New Roman" w:hAnsi="Times New Roman" w:cs="Times New Roman"/>
          <w:b/>
        </w:rPr>
        <w:t>Rownames</w:t>
      </w:r>
      <w:proofErr w:type="spellEnd"/>
      <w:r w:rsidRPr="004965E5">
        <w:rPr>
          <w:rFonts w:ascii="Times New Roman" w:eastAsia="Times New Roman" w:hAnsi="Times New Roman" w:cs="Times New Roman"/>
          <w:b/>
        </w:rPr>
        <w:t xml:space="preserve"> (genes):</w:t>
      </w:r>
      <w:r w:rsidRPr="00FD1FCC">
        <w:rPr>
          <w:rFonts w:ascii="Times New Roman" w:eastAsia="Times New Roman" w:hAnsi="Times New Roman" w:cs="Times New Roman"/>
        </w:rPr>
        <w:t xml:space="preserve"> genes.txt</w:t>
      </w:r>
    </w:p>
    <w:p w14:paraId="5F2D724E" w14:textId="77777777" w:rsidR="00FD1FCC" w:rsidRPr="00FD1FCC" w:rsidRDefault="00FD1FCC" w:rsidP="00FD1FCC">
      <w:pPr>
        <w:rPr>
          <w:rFonts w:ascii="Times New Roman" w:eastAsia="Times New Roman" w:hAnsi="Times New Roman" w:cs="Times New Roman"/>
        </w:rPr>
      </w:pPr>
      <w:r w:rsidRPr="004965E5">
        <w:rPr>
          <w:rFonts w:ascii="Times New Roman" w:eastAsia="Times New Roman" w:hAnsi="Times New Roman" w:cs="Times New Roman"/>
          <w:b/>
        </w:rPr>
        <w:t>Metadata:</w:t>
      </w:r>
      <w:r w:rsidRPr="00FD1FCC">
        <w:rPr>
          <w:rFonts w:ascii="Times New Roman" w:eastAsia="Times New Roman" w:hAnsi="Times New Roman" w:cs="Times New Roman"/>
        </w:rPr>
        <w:t xml:space="preserve"> meta.new.txt</w:t>
      </w:r>
    </w:p>
    <w:p w14:paraId="6D86F945" w14:textId="77777777" w:rsidR="00FD1FCC" w:rsidRPr="00FD1FCC" w:rsidRDefault="00FD1FCC" w:rsidP="00FD1FCC">
      <w:pPr>
        <w:rPr>
          <w:rFonts w:ascii="Times New Roman" w:eastAsia="Times New Roman" w:hAnsi="Times New Roman" w:cs="Times New Roman"/>
        </w:rPr>
      </w:pPr>
    </w:p>
    <w:p w14:paraId="6E15AB39" w14:textId="5F3104AC" w:rsidR="00FD1FCC" w:rsidRPr="00FD1FCC" w:rsidRDefault="00FD1FCC" w:rsidP="00FD1FCC">
      <w:pPr>
        <w:rPr>
          <w:rFonts w:ascii="Times New Roman" w:eastAsia="Times New Roman" w:hAnsi="Times New Roman" w:cs="Times New Roman"/>
        </w:rPr>
      </w:pPr>
      <w:r w:rsidRPr="00090C06">
        <w:rPr>
          <w:rFonts w:ascii="Times New Roman" w:eastAsia="Times New Roman" w:hAnsi="Times New Roman" w:cs="Times New Roman"/>
          <w:b/>
        </w:rPr>
        <w:t>Description:</w:t>
      </w:r>
      <w:r>
        <w:rPr>
          <w:rFonts w:ascii="Times New Roman" w:eastAsia="Times New Roman" w:hAnsi="Times New Roman" w:cs="Times New Roman"/>
        </w:rPr>
        <w:t xml:space="preserve"> </w:t>
      </w:r>
      <w:r w:rsidRPr="00FD1FCC">
        <w:rPr>
          <w:rFonts w:ascii="Times New Roman" w:eastAsia="Times New Roman" w:hAnsi="Times New Roman" w:cs="Times New Roman"/>
        </w:rPr>
        <w:t>RSEM TPM for PBCM1, used for clustering/</w:t>
      </w:r>
      <w:r w:rsidR="005A7604">
        <w:rPr>
          <w:rFonts w:ascii="Times New Roman" w:eastAsia="Times New Roman" w:hAnsi="Times New Roman" w:cs="Times New Roman"/>
        </w:rPr>
        <w:t>t-</w:t>
      </w:r>
      <w:r w:rsidRPr="00FD1FCC">
        <w:rPr>
          <w:rFonts w:ascii="Times New Roman" w:eastAsia="Times New Roman" w:hAnsi="Times New Roman" w:cs="Times New Roman"/>
        </w:rPr>
        <w:t xml:space="preserve">SNE in paper for Smart-seq2 in PBMC1, stored as </w:t>
      </w:r>
      <w:proofErr w:type="spellStart"/>
      <w:r w:rsidRPr="00FD1FCC">
        <w:rPr>
          <w:rFonts w:ascii="Times New Roman" w:eastAsia="Times New Roman" w:hAnsi="Times New Roman" w:cs="Times New Roman"/>
        </w:rPr>
        <w:t>tsv</w:t>
      </w:r>
      <w:proofErr w:type="spellEnd"/>
      <w:r w:rsidRPr="00FD1FCC">
        <w:rPr>
          <w:rFonts w:ascii="Times New Roman" w:eastAsia="Times New Roman" w:hAnsi="Times New Roman" w:cs="Times New Roman"/>
        </w:rPr>
        <w:t xml:space="preserve">. </w:t>
      </w:r>
    </w:p>
    <w:p w14:paraId="50569DEC" w14:textId="77777777" w:rsidR="00FD1FCC" w:rsidRPr="00FD1FCC" w:rsidRDefault="00FD1FCC" w:rsidP="00FD1FCC">
      <w:pPr>
        <w:rPr>
          <w:rFonts w:ascii="Times New Roman" w:eastAsia="Times New Roman" w:hAnsi="Times New Roman" w:cs="Times New Roman"/>
        </w:rPr>
      </w:pPr>
      <w:r w:rsidRPr="004965E5">
        <w:rPr>
          <w:rFonts w:ascii="Times New Roman" w:eastAsia="Times New Roman" w:hAnsi="Times New Roman" w:cs="Times New Roman"/>
          <w:b/>
        </w:rPr>
        <w:t>Matrix:</w:t>
      </w:r>
      <w:r w:rsidRPr="00FD1FCC">
        <w:rPr>
          <w:rFonts w:ascii="Times New Roman" w:eastAsia="Times New Roman" w:hAnsi="Times New Roman" w:cs="Times New Roman"/>
        </w:rPr>
        <w:t xml:space="preserve"> RSEM.TPM.SM2.pbmc1.txt.gz</w:t>
      </w:r>
    </w:p>
    <w:p w14:paraId="25F53616" w14:textId="77777777" w:rsidR="00FD1FCC" w:rsidRPr="00FD1FCC" w:rsidRDefault="00FD1FCC" w:rsidP="00FD1FCC">
      <w:pPr>
        <w:rPr>
          <w:rFonts w:ascii="Times New Roman" w:eastAsia="Times New Roman" w:hAnsi="Times New Roman" w:cs="Times New Roman"/>
        </w:rPr>
      </w:pPr>
    </w:p>
    <w:p w14:paraId="723BDE99" w14:textId="768D196A" w:rsidR="00FD1FCC" w:rsidRPr="00FD1FCC" w:rsidRDefault="00FD1FCC" w:rsidP="00FD1FCC">
      <w:pPr>
        <w:rPr>
          <w:rFonts w:ascii="Times New Roman" w:eastAsia="Times New Roman" w:hAnsi="Times New Roman" w:cs="Times New Roman"/>
        </w:rPr>
      </w:pPr>
      <w:r w:rsidRPr="004965E5">
        <w:rPr>
          <w:rFonts w:ascii="Times New Roman" w:eastAsia="Times New Roman" w:hAnsi="Times New Roman" w:cs="Times New Roman"/>
          <w:b/>
        </w:rPr>
        <w:t>Description:</w:t>
      </w:r>
      <w:r>
        <w:rPr>
          <w:rFonts w:ascii="Times New Roman" w:eastAsia="Times New Roman" w:hAnsi="Times New Roman" w:cs="Times New Roman"/>
        </w:rPr>
        <w:t xml:space="preserve"> </w:t>
      </w:r>
      <w:r w:rsidRPr="00FD1FCC">
        <w:rPr>
          <w:rFonts w:ascii="Times New Roman" w:eastAsia="Times New Roman" w:hAnsi="Times New Roman" w:cs="Times New Roman"/>
        </w:rPr>
        <w:t>RSEM TPM for PBCM2, used for clustering/</w:t>
      </w:r>
      <w:r w:rsidR="005A7604">
        <w:rPr>
          <w:rFonts w:ascii="Times New Roman" w:eastAsia="Times New Roman" w:hAnsi="Times New Roman" w:cs="Times New Roman"/>
        </w:rPr>
        <w:t>t-</w:t>
      </w:r>
      <w:r w:rsidRPr="00FD1FCC">
        <w:rPr>
          <w:rFonts w:ascii="Times New Roman" w:eastAsia="Times New Roman" w:hAnsi="Times New Roman" w:cs="Times New Roman"/>
        </w:rPr>
        <w:t xml:space="preserve">SNE in paper for Smart-seq2 in PBMC2, stored as </w:t>
      </w:r>
      <w:proofErr w:type="spellStart"/>
      <w:r w:rsidRPr="00FD1FCC">
        <w:rPr>
          <w:rFonts w:ascii="Times New Roman" w:eastAsia="Times New Roman" w:hAnsi="Times New Roman" w:cs="Times New Roman"/>
        </w:rPr>
        <w:t>tsv</w:t>
      </w:r>
      <w:proofErr w:type="spellEnd"/>
      <w:r w:rsidRPr="00FD1FCC">
        <w:rPr>
          <w:rFonts w:ascii="Times New Roman" w:eastAsia="Times New Roman" w:hAnsi="Times New Roman" w:cs="Times New Roman"/>
        </w:rPr>
        <w:t xml:space="preserve">. </w:t>
      </w:r>
    </w:p>
    <w:p w14:paraId="7DD77A15" w14:textId="77777777" w:rsidR="00FD1FCC" w:rsidRPr="00FD1FCC" w:rsidRDefault="00FD1FCC" w:rsidP="00FD1FCC">
      <w:pPr>
        <w:rPr>
          <w:rFonts w:ascii="Times New Roman" w:eastAsia="Times New Roman" w:hAnsi="Times New Roman" w:cs="Times New Roman"/>
        </w:rPr>
      </w:pPr>
      <w:r w:rsidRPr="004965E5">
        <w:rPr>
          <w:rFonts w:ascii="Times New Roman" w:eastAsia="Times New Roman" w:hAnsi="Times New Roman" w:cs="Times New Roman"/>
          <w:b/>
        </w:rPr>
        <w:t>Matrix:</w:t>
      </w:r>
      <w:r w:rsidRPr="00FD1FCC">
        <w:rPr>
          <w:rFonts w:ascii="Times New Roman" w:eastAsia="Times New Roman" w:hAnsi="Times New Roman" w:cs="Times New Roman"/>
        </w:rPr>
        <w:t xml:space="preserve"> RSEM.TPM.SM2.pbmc2.txt.gz</w:t>
      </w:r>
    </w:p>
    <w:p w14:paraId="7052A5DD" w14:textId="77777777" w:rsidR="00FD1FCC" w:rsidRPr="006952A7" w:rsidRDefault="00FD1FCC">
      <w:pPr>
        <w:rPr>
          <w:rFonts w:ascii="Times New Roman" w:eastAsia="Times New Roman" w:hAnsi="Times New Roman" w:cs="Times New Roman"/>
        </w:rPr>
      </w:pPr>
    </w:p>
    <w:sectPr w:rsidR="00FD1FCC" w:rsidRPr="006952A7" w:rsidSect="00EE16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4173748" w16cid:durableId="2087EB72"/>
  <w16cid:commentId w16cid:paraId="1C1A0A59" w16cid:durableId="2087EB7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egoe UI">
    <w:altName w:val="Calibri"/>
    <w:charset w:val="00"/>
    <w:family w:val="swiss"/>
    <w:pitch w:val="variable"/>
    <w:sig w:usb0="E10022FF" w:usb1="C000E47F" w:usb2="00000029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11BA"/>
    <w:rsid w:val="00007BF4"/>
    <w:rsid w:val="000867FF"/>
    <w:rsid w:val="000B50EA"/>
    <w:rsid w:val="000F7704"/>
    <w:rsid w:val="001651C7"/>
    <w:rsid w:val="0017603F"/>
    <w:rsid w:val="0020357E"/>
    <w:rsid w:val="002A3CA3"/>
    <w:rsid w:val="004965E5"/>
    <w:rsid w:val="005A7604"/>
    <w:rsid w:val="006952A7"/>
    <w:rsid w:val="006C66C2"/>
    <w:rsid w:val="0075232F"/>
    <w:rsid w:val="007B771E"/>
    <w:rsid w:val="007D2176"/>
    <w:rsid w:val="008B7EC0"/>
    <w:rsid w:val="009C6A26"/>
    <w:rsid w:val="009F6525"/>
    <w:rsid w:val="00A1080E"/>
    <w:rsid w:val="00A61E56"/>
    <w:rsid w:val="00C211F2"/>
    <w:rsid w:val="00C222C9"/>
    <w:rsid w:val="00C27B76"/>
    <w:rsid w:val="00D32D42"/>
    <w:rsid w:val="00D511BA"/>
    <w:rsid w:val="00E3236A"/>
    <w:rsid w:val="00E51B0B"/>
    <w:rsid w:val="00EE16B7"/>
    <w:rsid w:val="00FD1FCC"/>
    <w:rsid w:val="00FE2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00D68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511BA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0B50E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50E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50E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50E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B50E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50E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50E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78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0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0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9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1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9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4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hyperlink" Target="https://www.biorxiv.org/content/10.1101/632216v1)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1" Type="http://schemas.microsoft.com/office/2016/09/relationships/commentsIds" Target="commentsIds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482</Words>
  <Characters>2751</Characters>
  <Application>Microsoft Macintosh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Broad Institute</Company>
  <LinksUpToDate>false</LinksUpToDate>
  <CharactersWithSpaces>3227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2020-04-22T20:16:00Z</dcterms:created>
  <dcterms:modified xsi:type="dcterms:W3CDTF">2020-04-22T20:16:00Z</dcterms:modified>
</cp:coreProperties>
</file>