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FMR Operations v3 — Project Rollout &amp; AI Agent Handoff</w:t>
      </w:r>
    </w:p>
    <w:p>
      <w:pPr>
        <w:jc w:val="center"/>
      </w:pPr>
      <w:r>
        <w:rPr>
          <w:color w:val="666666"/>
          <w:sz w:val="24"/>
        </w:rPr>
        <w:t>Implementation context, architecture, operating model, data design, deployment state, and safe-change rules</w:t>
      </w:r>
    </w:p>
    <w:p>
      <w:pPr>
        <w:jc w:val="center"/>
      </w:pPr>
      <w:r>
        <w:rPr>
          <w:i/>
          <w:color w:val="666666"/>
          <w:sz w:val="20"/>
        </w:rPr>
        <w:t>Verified current state: August 26, 2026</w:t>
      </w:r>
    </w:p>
    <w:tbl>
      <w:tblPr>
        <w:tblW w:type="auto" w:w="0"/>
        <w:jc w:val="center"/>
        <w:tblLayout w:type="fixed"/>
        <w:tblLook w:firstColumn="1" w:firstRow="1" w:lastColumn="0" w:lastRow="0" w:noHBand="0" w:noVBand="1" w:val="04A0"/>
      </w:tblPr>
      <w:tblGrid>
        <w:gridCol w:w="9792"/>
      </w:tblGrid>
      <w:tr>
        <w:tc>
          <w:tcPr>
            <w:tcW w:type="dxa" w:w="10166"/>
            <w:shd w:fill="17365D"/>
          </w:tcPr>
          <w:p>
            <w:r/>
          </w:p>
        </w:tc>
      </w:tr>
    </w:tbl>
    <w:p/>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b/>
                <w:color w:val="17365D"/>
              </w:rPr>
              <w:t>Purpose</w:t>
            </w:r>
          </w:p>
          <w:p>
            <w:pPr>
              <w:spacing w:after="0"/>
            </w:pPr>
            <w:r>
              <w:t>This document is a handoff package for an AI engineering agent or new technical owner. It describes the deployed FMR Operations v3 system as it exists today, the decisions that shaped it, the production data model, the major workflows, recent hardening changes, and the rules that should be followed before changing a live system.</w:t>
            </w:r>
          </w:p>
        </w:tc>
      </w:tr>
    </w:tbl>
    <w:p>
      <w:pPr>
        <w:pStyle w:val="Heading1"/>
      </w:pPr>
      <w:r>
        <w:t>1. Executive Summary</w:t>
      </w:r>
    </w:p>
    <w:p>
      <w:r>
        <w:t>FMR Operations v3 is a production material-control application built on Google Apps Script, Google Sheets, Google Drive, and a versioned shared Apps Script library. It replaces ad-hoc spreadsheet handling with a controlled workflow for Field Material Requests (FMRs), material availability, Bag &amp; Tag reservation, material issue, backorders, historical imports, transaction correction, backups, readiness checks, and audit history.</w:t>
      </w:r>
    </w:p>
    <w:p>
      <w:r>
        <w:t>The application is fully deployed in a separate Production environment and is currently serving an active user roster. The present release is Core 3.0.0-alpha.30.5, with the Bound web app pinned to immutable FMRCoreV3 library version 37. The latest reviewed GitHub commit is 771412f8f0f04f4f70d1ffd5e3460ffbec67b5e8 ("Backorder button fix").</w:t>
      </w:r>
    </w:p>
    <w:tbl>
      <w:tblPr>
        <w:tblStyle w:val="TableGrid"/>
        <w:tblW w:type="auto" w:w="0"/>
        <w:jc w:val="center"/>
        <w:tblLook w:firstColumn="1" w:firstRow="1" w:lastColumn="0" w:lastRow="0" w:noHBand="0" w:noVBand="1" w:val="04A0"/>
      </w:tblPr>
      <w:tblGrid>
        <w:gridCol w:w="5083"/>
        <w:gridCol w:w="5083"/>
      </w:tblGrid>
      <w:tr>
        <w:tc>
          <w:tcPr>
            <w:tcW w:type="dxa" w:w="3024"/>
            <w:shd w:fill="DCE6F1"/>
            <w:tcMar>
              <w:top w:w="80" w:type="dxa"/>
              <w:start w:w="90" w:type="dxa"/>
              <w:bottom w:w="80" w:type="dxa"/>
              <w:end w:w="90" w:type="dxa"/>
            </w:tcMar>
            <w:vAlign w:val="top"/>
          </w:tcPr>
          <w:p>
            <w:r>
              <w:rPr>
                <w:b/>
                <w:color w:val="17365D"/>
              </w:rPr>
              <w:t>Production database</w:t>
            </w:r>
          </w:p>
        </w:tc>
        <w:tc>
          <w:tcPr>
            <w:tcW w:type="dxa" w:w="6912"/>
            <w:tcMar>
              <w:top w:w="80" w:type="dxa"/>
              <w:start w:w="90" w:type="dxa"/>
              <w:bottom w:w="80" w:type="dxa"/>
              <w:end w:w="90" w:type="dxa"/>
            </w:tcMar>
            <w:vAlign w:val="top"/>
          </w:tcPr>
          <w:p>
            <w:r>
              <w:t>FMR Operations Database v3 - PRODUCTION</w:t>
            </w:r>
          </w:p>
        </w:tc>
      </w:tr>
      <w:tr>
        <w:tc>
          <w:tcPr>
            <w:tcW w:type="dxa" w:w="3024"/>
            <w:shd w:fill="DCE6F1"/>
            <w:tcMar>
              <w:top w:w="80" w:type="dxa"/>
              <w:start w:w="90" w:type="dxa"/>
              <w:bottom w:w="80" w:type="dxa"/>
              <w:end w:w="90" w:type="dxa"/>
            </w:tcMar>
            <w:vAlign w:val="top"/>
          </w:tcPr>
          <w:p>
            <w:r>
              <w:rPr>
                <w:b/>
                <w:color w:val="17365D"/>
              </w:rPr>
              <w:t>Production fingerprint</w:t>
            </w:r>
          </w:p>
        </w:tc>
        <w:tc>
          <w:tcPr>
            <w:tcW w:type="dxa" w:w="6912"/>
            <w:tcMar>
              <w:top w:w="80" w:type="dxa"/>
              <w:start w:w="90" w:type="dxa"/>
              <w:bottom w:w="80" w:type="dxa"/>
              <w:end w:w="90" w:type="dxa"/>
            </w:tcMar>
            <w:vAlign w:val="top"/>
          </w:tcPr>
          <w:p>
            <w:r>
              <w:t>Pbbv5bSG3STZ</w:t>
            </w:r>
          </w:p>
        </w:tc>
      </w:tr>
      <w:tr>
        <w:tc>
          <w:tcPr>
            <w:tcW w:type="dxa" w:w="3024"/>
            <w:shd w:fill="DCE6F1"/>
            <w:tcMar>
              <w:top w:w="80" w:type="dxa"/>
              <w:start w:w="90" w:type="dxa"/>
              <w:bottom w:w="80" w:type="dxa"/>
              <w:end w:w="90" w:type="dxa"/>
            </w:tcMar>
            <w:vAlign w:val="top"/>
          </w:tcPr>
          <w:p>
            <w:r>
              <w:rPr>
                <w:b/>
                <w:color w:val="17365D"/>
              </w:rPr>
              <w:t>GitHub repository</w:t>
            </w:r>
          </w:p>
        </w:tc>
        <w:tc>
          <w:tcPr>
            <w:tcW w:type="dxa" w:w="6912"/>
            <w:tcMar>
              <w:top w:w="80" w:type="dxa"/>
              <w:start w:w="90" w:type="dxa"/>
              <w:bottom w:w="80" w:type="dxa"/>
              <w:end w:w="90" w:type="dxa"/>
            </w:tcMar>
            <w:vAlign w:val="top"/>
          </w:tcPr>
          <w:p>
            <w:r>
              <w:t>https://github.com/jonaDaniM/FMRv3</w:t>
            </w:r>
          </w:p>
        </w:tc>
      </w:tr>
      <w:tr>
        <w:tc>
          <w:tcPr>
            <w:tcW w:type="dxa" w:w="3024"/>
            <w:shd w:fill="DCE6F1"/>
            <w:tcMar>
              <w:top w:w="80" w:type="dxa"/>
              <w:start w:w="90" w:type="dxa"/>
              <w:bottom w:w="80" w:type="dxa"/>
              <w:end w:w="90" w:type="dxa"/>
            </w:tcMar>
            <w:vAlign w:val="top"/>
          </w:tcPr>
          <w:p>
            <w:r>
              <w:rPr>
                <w:b/>
                <w:color w:val="17365D"/>
              </w:rPr>
              <w:t>Reviewed commit</w:t>
            </w:r>
          </w:p>
        </w:tc>
        <w:tc>
          <w:tcPr>
            <w:tcW w:type="dxa" w:w="6912"/>
            <w:tcMar>
              <w:top w:w="80" w:type="dxa"/>
              <w:start w:w="90" w:type="dxa"/>
              <w:bottom w:w="80" w:type="dxa"/>
              <w:end w:w="90" w:type="dxa"/>
            </w:tcMar>
            <w:vAlign w:val="top"/>
          </w:tcPr>
          <w:p>
            <w:r>
              <w:t>771412f8f0f04f4f70d1ffd5e3460ffbec67b5e8</w:t>
            </w:r>
          </w:p>
        </w:tc>
      </w:tr>
      <w:tr>
        <w:tc>
          <w:tcPr>
            <w:tcW w:type="dxa" w:w="3024"/>
            <w:shd w:fill="DCE6F1"/>
            <w:tcMar>
              <w:top w:w="80" w:type="dxa"/>
              <w:start w:w="90" w:type="dxa"/>
              <w:bottom w:w="80" w:type="dxa"/>
              <w:end w:w="90" w:type="dxa"/>
            </w:tcMar>
            <w:vAlign w:val="top"/>
          </w:tcPr>
          <w:p>
            <w:r>
              <w:rPr>
                <w:b/>
                <w:color w:val="17365D"/>
              </w:rPr>
              <w:t>Core runtime</w:t>
            </w:r>
          </w:p>
        </w:tc>
        <w:tc>
          <w:tcPr>
            <w:tcW w:type="dxa" w:w="6912"/>
            <w:tcMar>
              <w:top w:w="80" w:type="dxa"/>
              <w:start w:w="90" w:type="dxa"/>
              <w:bottom w:w="80" w:type="dxa"/>
              <w:end w:w="90" w:type="dxa"/>
            </w:tcMar>
            <w:vAlign w:val="top"/>
          </w:tcPr>
          <w:p>
            <w:r>
              <w:t>3.0.0-alpha.30.5</w:t>
            </w:r>
          </w:p>
        </w:tc>
      </w:tr>
      <w:tr>
        <w:tc>
          <w:tcPr>
            <w:tcW w:type="dxa" w:w="3024"/>
            <w:shd w:fill="DCE6F1"/>
            <w:tcMar>
              <w:top w:w="80" w:type="dxa"/>
              <w:start w:w="90" w:type="dxa"/>
              <w:bottom w:w="80" w:type="dxa"/>
              <w:end w:w="90" w:type="dxa"/>
            </w:tcMar>
            <w:vAlign w:val="top"/>
          </w:tcPr>
          <w:p>
            <w:r>
              <w:rPr>
                <w:b/>
                <w:color w:val="17365D"/>
              </w:rPr>
              <w:t>Bound library dependency</w:t>
            </w:r>
          </w:p>
        </w:tc>
        <w:tc>
          <w:tcPr>
            <w:tcW w:type="dxa" w:w="6912"/>
            <w:tcMar>
              <w:top w:w="80" w:type="dxa"/>
              <w:start w:w="90" w:type="dxa"/>
              <w:bottom w:w="80" w:type="dxa"/>
              <w:end w:w="90" w:type="dxa"/>
            </w:tcMar>
            <w:vAlign w:val="top"/>
          </w:tcPr>
          <w:p>
            <w:r>
              <w:t>FMRCoreV3 immutable version 37</w:t>
            </w:r>
          </w:p>
        </w:tc>
      </w:tr>
      <w:tr>
        <w:tc>
          <w:tcPr>
            <w:tcW w:type="dxa" w:w="3024"/>
            <w:shd w:fill="DCE6F1"/>
            <w:tcMar>
              <w:top w:w="80" w:type="dxa"/>
              <w:start w:w="90" w:type="dxa"/>
              <w:bottom w:w="80" w:type="dxa"/>
              <w:end w:w="90" w:type="dxa"/>
            </w:tcMar>
            <w:vAlign w:val="top"/>
          </w:tcPr>
          <w:p>
            <w:r>
              <w:rPr>
                <w:b/>
                <w:color w:val="17365D"/>
              </w:rPr>
              <w:t>Web execution model</w:t>
            </w:r>
          </w:p>
        </w:tc>
        <w:tc>
          <w:tcPr>
            <w:tcW w:type="dxa" w:w="6912"/>
            <w:tcMar>
              <w:top w:w="80" w:type="dxa"/>
              <w:start w:w="90" w:type="dxa"/>
              <w:bottom w:w="80" w:type="dxa"/>
              <w:end w:w="90" w:type="dxa"/>
            </w:tcMar>
            <w:vAlign w:val="top"/>
          </w:tcPr>
          <w:p>
            <w:r>
              <w:t>USER_ACCESSING; authenticated Google account required</w:t>
            </w:r>
          </w:p>
        </w:tc>
      </w:tr>
      <w:tr>
        <w:tc>
          <w:tcPr>
            <w:tcW w:type="dxa" w:w="3024"/>
            <w:shd w:fill="DCE6F1"/>
            <w:tcMar>
              <w:top w:w="80" w:type="dxa"/>
              <w:start w:w="90" w:type="dxa"/>
              <w:bottom w:w="80" w:type="dxa"/>
              <w:end w:w="90" w:type="dxa"/>
            </w:tcMar>
            <w:vAlign w:val="top"/>
          </w:tcPr>
          <w:p>
            <w:r>
              <w:rPr>
                <w:b/>
                <w:color w:val="17365D"/>
              </w:rPr>
              <w:t>Current environment</w:t>
            </w:r>
          </w:p>
        </w:tc>
        <w:tc>
          <w:tcPr>
            <w:tcW w:type="dxa" w:w="6912"/>
            <w:tcMar>
              <w:top w:w="80" w:type="dxa"/>
              <w:start w:w="90" w:type="dxa"/>
              <w:bottom w:w="80" w:type="dxa"/>
              <w:end w:w="90" w:type="dxa"/>
            </w:tcMar>
            <w:vAlign w:val="top"/>
          </w:tcPr>
          <w:p>
            <w:r>
              <w:t>PRODUCTION</w:t>
            </w:r>
          </w:p>
        </w:tc>
      </w:tr>
      <w:tr>
        <w:tc>
          <w:tcPr>
            <w:tcW w:type="dxa" w:w="3024"/>
            <w:shd w:fill="DCE6F1"/>
            <w:tcMar>
              <w:top w:w="80" w:type="dxa"/>
              <w:start w:w="90" w:type="dxa"/>
              <w:bottom w:w="80" w:type="dxa"/>
              <w:end w:w="90" w:type="dxa"/>
            </w:tcMar>
            <w:vAlign w:val="top"/>
          </w:tcPr>
          <w:p>
            <w:r>
              <w:rPr>
                <w:b/>
                <w:color w:val="17365D"/>
              </w:rPr>
              <w:t>Current transaction mode</w:t>
            </w:r>
          </w:p>
        </w:tc>
        <w:tc>
          <w:tcPr>
            <w:tcW w:type="dxa" w:w="6912"/>
            <w:tcMar>
              <w:top w:w="80" w:type="dxa"/>
              <w:start w:w="90" w:type="dxa"/>
              <w:bottom w:w="80" w:type="dxa"/>
              <w:end w:w="90" w:type="dxa"/>
            </w:tcMar>
            <w:vAlign w:val="top"/>
          </w:tcPr>
          <w:p>
            <w:r>
              <w:t>ENABLED</w:t>
            </w:r>
          </w:p>
        </w:tc>
      </w:tr>
    </w:tbl>
    <w:p>
      <w:pPr>
        <w:pStyle w:val="Heading1"/>
      </w:pPr>
      <w:r>
        <w:t>2. Current Production Snapshot</w:t>
      </w:r>
    </w:p>
    <w:p>
      <w:r>
        <w:t>The following counts were observed directly from the Production spreadsheet on August 26, 2026.</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7365D"/>
            <w:tcMar>
              <w:top w:w="80" w:type="dxa"/>
              <w:start w:w="90" w:type="dxa"/>
              <w:bottom w:w="80" w:type="dxa"/>
              <w:end w:w="90" w:type="dxa"/>
            </w:tcMar>
          </w:tcPr>
          <w:p>
            <w:r>
              <w:rPr>
                <w:b/>
                <w:color w:val="FFFFFF"/>
                <w:sz w:val="17"/>
              </w:rPr>
              <w:t>Data set</w:t>
            </w:r>
          </w:p>
        </w:tc>
        <w:tc>
          <w:tcPr>
            <w:tcW w:type="dxa" w:w="2304"/>
            <w:shd w:fill="17365D"/>
            <w:tcMar>
              <w:top w:w="80" w:type="dxa"/>
              <w:start w:w="90" w:type="dxa"/>
              <w:bottom w:w="80" w:type="dxa"/>
              <w:end w:w="90" w:type="dxa"/>
            </w:tcMar>
          </w:tcPr>
          <w:p>
            <w:r>
              <w:rPr>
                <w:b/>
                <w:color w:val="FFFFFF"/>
                <w:sz w:val="17"/>
              </w:rPr>
              <w:t>Observed scale</w:t>
            </w:r>
          </w:p>
        </w:tc>
        <w:tc>
          <w:tcPr>
            <w:tcW w:type="dxa" w:w="5472"/>
            <w:shd w:fill="17365D"/>
            <w:tcMar>
              <w:top w:w="80" w:type="dxa"/>
              <w:start w:w="90" w:type="dxa"/>
              <w:bottom w:w="80" w:type="dxa"/>
              <w:end w:w="90" w:type="dxa"/>
            </w:tcMar>
          </w:tcPr>
          <w:p>
            <w:r>
              <w:rPr>
                <w:b/>
                <w:color w:val="FFFFFF"/>
                <w:sz w:val="17"/>
              </w:rPr>
              <w:t>Interpretation</w:t>
            </w:r>
          </w:p>
        </w:tc>
      </w:tr>
      <w:tr>
        <w:tc>
          <w:tcPr>
            <w:tcW w:type="dxa" w:w="2448"/>
            <w:tcMar>
              <w:top w:w="80" w:type="dxa"/>
              <w:start w:w="90" w:type="dxa"/>
              <w:bottom w:w="80" w:type="dxa"/>
              <w:end w:w="90" w:type="dxa"/>
            </w:tcMar>
            <w:vAlign w:val="top"/>
          </w:tcPr>
          <w:p>
            <w:r>
              <w:rPr>
                <w:sz w:val="17"/>
              </w:rPr>
              <w:t>FMR_Header</w:t>
            </w:r>
          </w:p>
        </w:tc>
        <w:tc>
          <w:tcPr>
            <w:tcW w:type="dxa" w:w="2304"/>
            <w:tcMar>
              <w:top w:w="80" w:type="dxa"/>
              <w:start w:w="90" w:type="dxa"/>
              <w:bottom w:w="80" w:type="dxa"/>
              <w:end w:w="90" w:type="dxa"/>
            </w:tcMar>
            <w:vAlign w:val="top"/>
          </w:tcPr>
          <w:p>
            <w:r>
              <w:rPr>
                <w:sz w:val="17"/>
              </w:rPr>
              <w:t>805 active FMRs</w:t>
            </w:r>
          </w:p>
        </w:tc>
        <w:tc>
          <w:tcPr>
            <w:tcW w:type="dxa" w:w="5472"/>
            <w:tcMar>
              <w:top w:w="80" w:type="dxa"/>
              <w:start w:w="90" w:type="dxa"/>
              <w:bottom w:w="80" w:type="dxa"/>
              <w:end w:w="90" w:type="dxa"/>
            </w:tcMar>
            <w:vAlign w:val="top"/>
          </w:tcPr>
          <w:p>
            <w:r>
              <w:rPr>
                <w:sz w:val="17"/>
              </w:rPr>
              <w:t>Published FMR master records currently in Production.</w:t>
            </w:r>
          </w:p>
        </w:tc>
      </w:tr>
      <w:tr>
        <w:tc>
          <w:tcPr>
            <w:tcW w:type="dxa" w:w="2448"/>
            <w:tcMar>
              <w:top w:w="80" w:type="dxa"/>
              <w:start w:w="90" w:type="dxa"/>
              <w:bottom w:w="80" w:type="dxa"/>
              <w:end w:w="90" w:type="dxa"/>
            </w:tcMar>
            <w:vAlign w:val="top"/>
          </w:tcPr>
          <w:p>
            <w:r>
              <w:rPr>
                <w:sz w:val="17"/>
              </w:rPr>
              <w:t>FMR_Line_Items</w:t>
            </w:r>
          </w:p>
        </w:tc>
        <w:tc>
          <w:tcPr>
            <w:tcW w:type="dxa" w:w="2304"/>
            <w:tcMar>
              <w:top w:w="80" w:type="dxa"/>
              <w:start w:w="90" w:type="dxa"/>
              <w:bottom w:w="80" w:type="dxa"/>
              <w:end w:w="90" w:type="dxa"/>
            </w:tcMar>
            <w:vAlign w:val="top"/>
          </w:tcPr>
          <w:p>
            <w:r>
              <w:rPr>
                <w:sz w:val="17"/>
              </w:rPr>
              <w:t>5,593 active material lines</w:t>
            </w:r>
          </w:p>
        </w:tc>
        <w:tc>
          <w:tcPr>
            <w:tcW w:type="dxa" w:w="5472"/>
            <w:tcMar>
              <w:top w:w="80" w:type="dxa"/>
              <w:start w:w="90" w:type="dxa"/>
              <w:bottom w:w="80" w:type="dxa"/>
              <w:end w:w="90" w:type="dxa"/>
            </w:tcMar>
            <w:vAlign w:val="top"/>
          </w:tcPr>
          <w:p>
            <w:r>
              <w:rPr>
                <w:sz w:val="17"/>
              </w:rPr>
              <w:t>Authoritative current material-line state.</w:t>
            </w:r>
          </w:p>
        </w:tc>
      </w:tr>
      <w:tr>
        <w:tc>
          <w:tcPr>
            <w:tcW w:type="dxa" w:w="2448"/>
            <w:tcMar>
              <w:top w:w="80" w:type="dxa"/>
              <w:start w:w="90" w:type="dxa"/>
              <w:bottom w:w="80" w:type="dxa"/>
              <w:end w:w="90" w:type="dxa"/>
            </w:tcMar>
            <w:vAlign w:val="top"/>
          </w:tcPr>
          <w:p>
            <w:r>
              <w:rPr>
                <w:sz w:val="17"/>
              </w:rPr>
              <w:t>Search_Index</w:t>
            </w:r>
          </w:p>
        </w:tc>
        <w:tc>
          <w:tcPr>
            <w:tcW w:type="dxa" w:w="2304"/>
            <w:tcMar>
              <w:top w:w="80" w:type="dxa"/>
              <w:start w:w="90" w:type="dxa"/>
              <w:bottom w:w="80" w:type="dxa"/>
              <w:end w:w="90" w:type="dxa"/>
            </w:tcMar>
            <w:vAlign w:val="top"/>
          </w:tcPr>
          <w:p>
            <w:r>
              <w:rPr>
                <w:sz w:val="17"/>
              </w:rPr>
              <w:t>16,779 active index rows</w:t>
            </w:r>
          </w:p>
        </w:tc>
        <w:tc>
          <w:tcPr>
            <w:tcW w:type="dxa" w:w="5472"/>
            <w:tcMar>
              <w:top w:w="80" w:type="dxa"/>
              <w:start w:w="90" w:type="dxa"/>
              <w:bottom w:w="80" w:type="dxa"/>
              <w:end w:w="90" w:type="dxa"/>
            </w:tcMar>
            <w:vAlign w:val="top"/>
          </w:tcPr>
          <w:p>
            <w:r>
              <w:rPr>
                <w:sz w:val="17"/>
              </w:rPr>
              <w:t>Exact FMR / ISO / line lookup accelerator.</w:t>
            </w:r>
          </w:p>
        </w:tc>
      </w:tr>
      <w:tr>
        <w:tc>
          <w:tcPr>
            <w:tcW w:type="dxa" w:w="2448"/>
            <w:tcMar>
              <w:top w:w="80" w:type="dxa"/>
              <w:start w:w="90" w:type="dxa"/>
              <w:bottom w:w="80" w:type="dxa"/>
              <w:end w:w="90" w:type="dxa"/>
            </w:tcMar>
            <w:vAlign w:val="top"/>
          </w:tcPr>
          <w:p>
            <w:r>
              <w:rPr>
                <w:sz w:val="17"/>
              </w:rPr>
              <w:t>Operational_Index</w:t>
            </w:r>
          </w:p>
        </w:tc>
        <w:tc>
          <w:tcPr>
            <w:tcW w:type="dxa" w:w="2304"/>
            <w:tcMar>
              <w:top w:w="80" w:type="dxa"/>
              <w:start w:w="90" w:type="dxa"/>
              <w:bottom w:w="80" w:type="dxa"/>
              <w:end w:w="90" w:type="dxa"/>
            </w:tcMar>
            <w:vAlign w:val="top"/>
          </w:tcPr>
          <w:p>
            <w:r>
              <w:rPr>
                <w:sz w:val="17"/>
              </w:rPr>
              <w:t>563 active index rows</w:t>
            </w:r>
          </w:p>
        </w:tc>
        <w:tc>
          <w:tcPr>
            <w:tcW w:type="dxa" w:w="5472"/>
            <w:tcMar>
              <w:top w:w="80" w:type="dxa"/>
              <w:start w:w="90" w:type="dxa"/>
              <w:bottom w:w="80" w:type="dxa"/>
              <w:end w:w="90" w:type="dxa"/>
            </w:tcMar>
            <w:vAlign w:val="top"/>
          </w:tcPr>
          <w:p>
            <w:r>
              <w:rPr>
                <w:sz w:val="17"/>
              </w:rPr>
              <w:t>Operational lookup accelerator for bags/backorders and related views.</w:t>
            </w:r>
          </w:p>
        </w:tc>
      </w:tr>
      <w:tr>
        <w:tc>
          <w:tcPr>
            <w:tcW w:type="dxa" w:w="2448"/>
            <w:tcMar>
              <w:top w:w="80" w:type="dxa"/>
              <w:start w:w="90" w:type="dxa"/>
              <w:bottom w:w="80" w:type="dxa"/>
              <w:end w:w="90" w:type="dxa"/>
            </w:tcMar>
            <w:vAlign w:val="top"/>
          </w:tcPr>
          <w:p>
            <w:r>
              <w:rPr>
                <w:sz w:val="17"/>
              </w:rPr>
              <w:t>Material_Transactions</w:t>
            </w:r>
          </w:p>
        </w:tc>
        <w:tc>
          <w:tcPr>
            <w:tcW w:type="dxa" w:w="2304"/>
            <w:tcMar>
              <w:top w:w="80" w:type="dxa"/>
              <w:start w:w="90" w:type="dxa"/>
              <w:bottom w:w="80" w:type="dxa"/>
              <w:end w:w="90" w:type="dxa"/>
            </w:tcMar>
            <w:vAlign w:val="top"/>
          </w:tcPr>
          <w:p>
            <w:r>
              <w:rPr>
                <w:sz w:val="17"/>
              </w:rPr>
              <w:t>738 transaction rows</w:t>
            </w:r>
          </w:p>
        </w:tc>
        <w:tc>
          <w:tcPr>
            <w:tcW w:type="dxa" w:w="5472"/>
            <w:tcMar>
              <w:top w:w="80" w:type="dxa"/>
              <w:start w:w="90" w:type="dxa"/>
              <w:bottom w:w="80" w:type="dxa"/>
              <w:end w:w="90" w:type="dxa"/>
            </w:tcMar>
            <w:vAlign w:val="top"/>
          </w:tcPr>
          <w:p>
            <w:r>
              <w:rPr>
                <w:sz w:val="17"/>
              </w:rPr>
              <w:t>Append-only material movement / field-action ledger.</w:t>
            </w:r>
          </w:p>
        </w:tc>
      </w:tr>
      <w:tr>
        <w:tc>
          <w:tcPr>
            <w:tcW w:type="dxa" w:w="2448"/>
            <w:tcMar>
              <w:top w:w="80" w:type="dxa"/>
              <w:start w:w="90" w:type="dxa"/>
              <w:bottom w:w="80" w:type="dxa"/>
              <w:end w:w="90" w:type="dxa"/>
            </w:tcMar>
            <w:vAlign w:val="top"/>
          </w:tcPr>
          <w:p>
            <w:r>
              <w:rPr>
                <w:sz w:val="17"/>
              </w:rPr>
              <w:t>Backorder_Requests</w:t>
            </w:r>
          </w:p>
        </w:tc>
        <w:tc>
          <w:tcPr>
            <w:tcW w:type="dxa" w:w="2304"/>
            <w:tcMar>
              <w:top w:w="80" w:type="dxa"/>
              <w:start w:w="90" w:type="dxa"/>
              <w:bottom w:w="80" w:type="dxa"/>
              <w:end w:w="90" w:type="dxa"/>
            </w:tcMar>
            <w:vAlign w:val="top"/>
          </w:tcPr>
          <w:p>
            <w:r>
              <w:rPr>
                <w:sz w:val="17"/>
              </w:rPr>
              <w:t>170 request rows</w:t>
            </w:r>
          </w:p>
        </w:tc>
        <w:tc>
          <w:tcPr>
            <w:tcW w:type="dxa" w:w="5472"/>
            <w:tcMar>
              <w:top w:w="80" w:type="dxa"/>
              <w:start w:w="90" w:type="dxa"/>
              <w:bottom w:w="80" w:type="dxa"/>
              <w:end w:w="90" w:type="dxa"/>
            </w:tcMar>
            <w:vAlign w:val="top"/>
          </w:tcPr>
          <w:p>
            <w:r>
              <w:rPr>
                <w:sz w:val="17"/>
              </w:rPr>
              <w:t>Backorder lifecycle history, including field notes and admin decisions.</w:t>
            </w:r>
          </w:p>
        </w:tc>
      </w:tr>
      <w:tr>
        <w:tc>
          <w:tcPr>
            <w:tcW w:type="dxa" w:w="2448"/>
            <w:tcMar>
              <w:top w:w="80" w:type="dxa"/>
              <w:start w:w="90" w:type="dxa"/>
              <w:bottom w:w="80" w:type="dxa"/>
              <w:end w:w="90" w:type="dxa"/>
            </w:tcMar>
            <w:vAlign w:val="top"/>
          </w:tcPr>
          <w:p>
            <w:r>
              <w:rPr>
                <w:sz w:val="17"/>
              </w:rPr>
              <w:t>Audit_Log</w:t>
            </w:r>
          </w:p>
        </w:tc>
        <w:tc>
          <w:tcPr>
            <w:tcW w:type="dxa" w:w="2304"/>
            <w:tcMar>
              <w:top w:w="80" w:type="dxa"/>
              <w:start w:w="90" w:type="dxa"/>
              <w:bottom w:w="80" w:type="dxa"/>
              <w:end w:w="90" w:type="dxa"/>
            </w:tcMar>
            <w:vAlign w:val="top"/>
          </w:tcPr>
          <w:p>
            <w:r>
              <w:rPr>
                <w:sz w:val="17"/>
              </w:rPr>
              <w:t>2,726 audit rows</w:t>
            </w:r>
          </w:p>
        </w:tc>
        <w:tc>
          <w:tcPr>
            <w:tcW w:type="dxa" w:w="5472"/>
            <w:tcMar>
              <w:top w:w="80" w:type="dxa"/>
              <w:start w:w="90" w:type="dxa"/>
              <w:bottom w:w="80" w:type="dxa"/>
              <w:end w:w="90" w:type="dxa"/>
            </w:tcMar>
            <w:vAlign w:val="top"/>
          </w:tcPr>
          <w:p>
            <w:r>
              <w:rPr>
                <w:sz w:val="17"/>
              </w:rPr>
              <w:t>Application governance and change history.</w:t>
            </w:r>
          </w:p>
        </w:tc>
      </w:tr>
      <w:tr>
        <w:tc>
          <w:tcPr>
            <w:tcW w:type="dxa" w:w="2448"/>
            <w:tcMar>
              <w:top w:w="80" w:type="dxa"/>
              <w:start w:w="90" w:type="dxa"/>
              <w:bottom w:w="80" w:type="dxa"/>
              <w:end w:w="90" w:type="dxa"/>
            </w:tcMar>
            <w:vAlign w:val="top"/>
          </w:tcPr>
          <w:p>
            <w:r>
              <w:rPr>
                <w:sz w:val="17"/>
              </w:rPr>
              <w:t>Users</w:t>
            </w:r>
          </w:p>
        </w:tc>
        <w:tc>
          <w:tcPr>
            <w:tcW w:type="dxa" w:w="2304"/>
            <w:tcMar>
              <w:top w:w="80" w:type="dxa"/>
              <w:start w:w="90" w:type="dxa"/>
              <w:bottom w:w="80" w:type="dxa"/>
              <w:end w:w="90" w:type="dxa"/>
            </w:tcMar>
            <w:vAlign w:val="top"/>
          </w:tcPr>
          <w:p>
            <w:r>
              <w:rPr>
                <w:sz w:val="17"/>
              </w:rPr>
              <w:t>18 active users</w:t>
            </w:r>
          </w:p>
        </w:tc>
        <w:tc>
          <w:tcPr>
            <w:tcW w:type="dxa" w:w="5472"/>
            <w:tcMar>
              <w:top w:w="80" w:type="dxa"/>
              <w:start w:w="90" w:type="dxa"/>
              <w:bottom w:w="80" w:type="dxa"/>
              <w:end w:w="90" w:type="dxa"/>
            </w:tcMar>
            <w:vAlign w:val="top"/>
          </w:tcPr>
          <w:p>
            <w:r>
              <w:rPr>
                <w:sz w:val="17"/>
              </w:rPr>
              <w:t>System Owners, Material Admins, and Field Users.</w:t>
            </w:r>
          </w:p>
        </w:tc>
      </w:tr>
      <w:tr>
        <w:tc>
          <w:tcPr>
            <w:tcW w:type="dxa" w:w="2448"/>
            <w:tcMar>
              <w:top w:w="80" w:type="dxa"/>
              <w:start w:w="90" w:type="dxa"/>
              <w:bottom w:w="80" w:type="dxa"/>
              <w:end w:w="90" w:type="dxa"/>
            </w:tcMar>
            <w:vAlign w:val="top"/>
          </w:tcPr>
          <w:p>
            <w:r>
              <w:rPr>
                <w:sz w:val="17"/>
              </w:rPr>
              <w:t>Backup_History</w:t>
            </w:r>
          </w:p>
        </w:tc>
        <w:tc>
          <w:tcPr>
            <w:tcW w:type="dxa" w:w="2304"/>
            <w:tcMar>
              <w:top w:w="80" w:type="dxa"/>
              <w:start w:w="90" w:type="dxa"/>
              <w:bottom w:w="80" w:type="dxa"/>
              <w:end w:w="90" w:type="dxa"/>
            </w:tcMar>
            <w:vAlign w:val="top"/>
          </w:tcPr>
          <w:p>
            <w:r>
              <w:rPr>
                <w:sz w:val="17"/>
              </w:rPr>
              <w:t>11 successful backups</w:t>
            </w:r>
          </w:p>
        </w:tc>
        <w:tc>
          <w:tcPr>
            <w:tcW w:type="dxa" w:w="5472"/>
            <w:tcMar>
              <w:top w:w="80" w:type="dxa"/>
              <w:start w:w="90" w:type="dxa"/>
              <w:bottom w:w="80" w:type="dxa"/>
              <w:end w:w="90" w:type="dxa"/>
            </w:tcMar>
            <w:vAlign w:val="top"/>
          </w:tcPr>
          <w:p>
            <w:r>
              <w:rPr>
                <w:sz w:val="17"/>
              </w:rPr>
              <w:t>All currently recorded backups are MANUAL; latest observed 2026-08-25 19:44.</w:t>
            </w:r>
          </w:p>
        </w:tc>
      </w:tr>
    </w:tbl>
    <w:tbl>
      <w:tblPr>
        <w:tblW w:type="auto" w:w="0"/>
        <w:jc w:val="center"/>
        <w:tblLayout w:type="autofit"/>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b/>
                <w:color w:val="17365D"/>
              </w:rPr>
              <w:t>Operational housekeeping observed</w:t>
            </w:r>
          </w:p>
          <w:p>
            <w:pPr>
              <w:spacing w:after="0"/>
            </w:pPr>
            <w:r>
              <w:t>Production has TRANSACTION_MODE=ENABLED, but the Configuration sheet still contains the maintenance message "Production Maintenance: Admin notes/backorder filter update". The descriptive APP_VERSION field also still reads 3.0.0-alpha.30.4 even though the runtime Core is 3.0.0-alpha.30.5. These are human-readable configuration mismatches, not runtime blockers. Backup_History contains no SCHEDULED entries and Operational_Health_Log contains only the initial commissioning health run; recurring backup/health automation should be treated as an operational follow-up.</w:t>
            </w:r>
          </w:p>
        </w:tc>
      </w:tr>
    </w:tbl>
    <w:p>
      <w:pPr>
        <w:pStyle w:val="Heading1"/>
      </w:pPr>
      <w:r>
        <w:t>3. Problem the System Solves</w:t>
      </w:r>
    </w:p>
    <w:p>
      <w:pPr>
        <w:pStyle w:val="ListBullet"/>
        <w:spacing w:after="40"/>
      </w:pPr>
      <w:r>
        <w:rPr>
          <w:b/>
        </w:rPr>
        <w:t xml:space="preserve">Single source of truth. </w:t>
      </w:r>
      <w:r>
        <w:t>FMRs, material lines, requests, Bags, backorders, and issue history are centralized.</w:t>
      </w:r>
    </w:p>
    <w:p>
      <w:pPr>
        <w:pStyle w:val="ListBullet"/>
        <w:spacing w:after="40"/>
      </w:pPr>
      <w:r>
        <w:rPr>
          <w:b/>
        </w:rPr>
        <w:t xml:space="preserve">Field traceability. </w:t>
      </w:r>
      <w:r>
        <w:t>Field users can find material by FMR or ISO and perform controlled material actions.</w:t>
      </w:r>
    </w:p>
    <w:p>
      <w:pPr>
        <w:pStyle w:val="ListBullet"/>
        <w:spacing w:after="40"/>
      </w:pPr>
      <w:r>
        <w:rPr>
          <w:b/>
        </w:rPr>
        <w:t xml:space="preserve">Planner / Material Control visibility. </w:t>
      </w:r>
      <w:r>
        <w:t>Admins can review the published register, outstanding backorders, active bags, confirmed backorders, and Field notes.</w:t>
      </w:r>
    </w:p>
    <w:p>
      <w:pPr>
        <w:pStyle w:val="ListBullet"/>
        <w:spacing w:after="40"/>
      </w:pPr>
      <w:r>
        <w:rPr>
          <w:b/>
        </w:rPr>
        <w:t xml:space="preserve">Historical conversion. </w:t>
      </w:r>
      <w:r>
        <w:t>Legacy Excel / Google Sheet FMRs can be parsed, reviewed, staged, and published in controlled batches.</w:t>
      </w:r>
    </w:p>
    <w:p>
      <w:pPr>
        <w:pStyle w:val="ListBullet"/>
        <w:spacing w:after="40"/>
      </w:pPr>
      <w:r>
        <w:rPr>
          <w:b/>
        </w:rPr>
        <w:t xml:space="preserve">Governance. </w:t>
      </w:r>
      <w:r>
        <w:t>Original material transaction history is retained; reversals create inverse ledger records instead of deleting history.</w:t>
      </w:r>
    </w:p>
    <w:p>
      <w:pPr>
        <w:pStyle w:val="ListBullet"/>
        <w:spacing w:after="40"/>
      </w:pPr>
      <w:r>
        <w:rPr>
          <w:b/>
        </w:rPr>
        <w:t xml:space="preserve">Recovery. </w:t>
      </w:r>
      <w:r>
        <w:t>Owner-only backup, readiness, correction, and recovery workflows exist for production operations.</w:t>
      </w:r>
    </w:p>
    <w:p>
      <w:pPr>
        <w:pStyle w:val="Heading1"/>
      </w:pPr>
      <w:r>
        <w:t>4. User Personas and Authorization Model</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7365D"/>
            <w:tcMar>
              <w:top w:w="80" w:type="dxa"/>
              <w:start w:w="90" w:type="dxa"/>
              <w:bottom w:w="80" w:type="dxa"/>
              <w:end w:w="90" w:type="dxa"/>
            </w:tcMar>
          </w:tcPr>
          <w:p>
            <w:r>
              <w:rPr>
                <w:b/>
                <w:color w:val="FFFFFF"/>
                <w:sz w:val="17"/>
              </w:rPr>
              <w:t>Role</w:t>
            </w:r>
          </w:p>
        </w:tc>
        <w:tc>
          <w:tcPr>
            <w:tcW w:type="dxa" w:w="5184"/>
            <w:shd w:fill="17365D"/>
            <w:tcMar>
              <w:top w:w="80" w:type="dxa"/>
              <w:start w:w="90" w:type="dxa"/>
              <w:bottom w:w="80" w:type="dxa"/>
              <w:end w:w="90" w:type="dxa"/>
            </w:tcMar>
          </w:tcPr>
          <w:p>
            <w:r>
              <w:rPr>
                <w:b/>
                <w:color w:val="FFFFFF"/>
                <w:sz w:val="17"/>
              </w:rPr>
              <w:t>Primary responsibilities</w:t>
            </w:r>
          </w:p>
        </w:tc>
        <w:tc>
          <w:tcPr>
            <w:tcW w:type="dxa" w:w="3312"/>
            <w:shd w:fill="17365D"/>
            <w:tcMar>
              <w:top w:w="80" w:type="dxa"/>
              <w:start w:w="90" w:type="dxa"/>
              <w:bottom w:w="80" w:type="dxa"/>
              <w:end w:w="90" w:type="dxa"/>
            </w:tcMar>
          </w:tcPr>
          <w:p>
            <w:r>
              <w:rPr>
                <w:b/>
                <w:color w:val="FFFFFF"/>
                <w:sz w:val="17"/>
              </w:rPr>
              <w:t>Permissions</w:t>
            </w:r>
          </w:p>
        </w:tc>
      </w:tr>
      <w:tr>
        <w:tc>
          <w:tcPr>
            <w:tcW w:type="dxa" w:w="1872"/>
            <w:tcMar>
              <w:top w:w="80" w:type="dxa"/>
              <w:start w:w="90" w:type="dxa"/>
              <w:bottom w:w="80" w:type="dxa"/>
              <w:end w:w="90" w:type="dxa"/>
            </w:tcMar>
            <w:vAlign w:val="top"/>
          </w:tcPr>
          <w:p>
            <w:r>
              <w:rPr>
                <w:sz w:val="17"/>
              </w:rPr>
              <w:t>Field User</w:t>
            </w:r>
          </w:p>
        </w:tc>
        <w:tc>
          <w:tcPr>
            <w:tcW w:type="dxa" w:w="5184"/>
            <w:tcMar>
              <w:top w:w="80" w:type="dxa"/>
              <w:start w:w="90" w:type="dxa"/>
              <w:bottom w:w="80" w:type="dxa"/>
              <w:end w:w="90" w:type="dxa"/>
            </w:tcMar>
            <w:vAlign w:val="top"/>
          </w:tcPr>
          <w:p>
            <w:r>
              <w:rPr>
                <w:sz w:val="17"/>
              </w:rPr>
              <w:t>Locate, confirm, bag, issue, request backorder, add notes.</w:t>
            </w:r>
          </w:p>
        </w:tc>
        <w:tc>
          <w:tcPr>
            <w:tcW w:type="dxa" w:w="3312"/>
            <w:tcMar>
              <w:top w:w="80" w:type="dxa"/>
              <w:start w:w="90" w:type="dxa"/>
              <w:bottom w:w="80" w:type="dxa"/>
              <w:end w:w="90" w:type="dxa"/>
            </w:tcMar>
            <w:vAlign w:val="top"/>
          </w:tcPr>
          <w:p>
            <w:r>
              <w:rPr>
                <w:sz w:val="17"/>
              </w:rPr>
              <w:t>Search + field transactions; no admin approval or owner maintenance.</w:t>
            </w:r>
          </w:p>
        </w:tc>
      </w:tr>
      <w:tr>
        <w:tc>
          <w:tcPr>
            <w:tcW w:type="dxa" w:w="1872"/>
            <w:tcMar>
              <w:top w:w="80" w:type="dxa"/>
              <w:start w:w="90" w:type="dxa"/>
              <w:bottom w:w="80" w:type="dxa"/>
              <w:end w:w="90" w:type="dxa"/>
            </w:tcMar>
            <w:vAlign w:val="top"/>
          </w:tcPr>
          <w:p>
            <w:r>
              <w:rPr>
                <w:sz w:val="17"/>
              </w:rPr>
              <w:t>Material Admin</w:t>
            </w:r>
          </w:p>
        </w:tc>
        <w:tc>
          <w:tcPr>
            <w:tcW w:type="dxa" w:w="5184"/>
            <w:tcMar>
              <w:top w:w="80" w:type="dxa"/>
              <w:start w:w="90" w:type="dxa"/>
              <w:bottom w:w="80" w:type="dxa"/>
              <w:end w:w="90" w:type="dxa"/>
            </w:tcMar>
            <w:vAlign w:val="top"/>
          </w:tcPr>
          <w:p>
            <w:r>
              <w:rPr>
                <w:sz w:val="17"/>
              </w:rPr>
              <w:t>Review FMR register, approve/reject/return backorders, operational queues, review Field notes.</w:t>
            </w:r>
          </w:p>
        </w:tc>
        <w:tc>
          <w:tcPr>
            <w:tcW w:type="dxa" w:w="3312"/>
            <w:tcMar>
              <w:top w:w="80" w:type="dxa"/>
              <w:start w:w="90" w:type="dxa"/>
              <w:bottom w:w="80" w:type="dxa"/>
              <w:end w:w="90" w:type="dxa"/>
            </w:tcMar>
            <w:vAlign w:val="top"/>
          </w:tcPr>
          <w:p>
            <w:r>
              <w:rPr>
                <w:sz w:val="17"/>
              </w:rPr>
              <w:t>Search + admin backorder privileges; no owner maintenance.</w:t>
            </w:r>
          </w:p>
        </w:tc>
      </w:tr>
      <w:tr>
        <w:tc>
          <w:tcPr>
            <w:tcW w:type="dxa" w:w="1872"/>
            <w:tcMar>
              <w:top w:w="80" w:type="dxa"/>
              <w:start w:w="90" w:type="dxa"/>
              <w:bottom w:w="80" w:type="dxa"/>
              <w:end w:w="90" w:type="dxa"/>
            </w:tcMar>
            <w:vAlign w:val="top"/>
          </w:tcPr>
          <w:p>
            <w:r>
              <w:rPr>
                <w:sz w:val="17"/>
              </w:rPr>
              <w:t>System Owner</w:t>
            </w:r>
          </w:p>
        </w:tc>
        <w:tc>
          <w:tcPr>
            <w:tcW w:type="dxa" w:w="5184"/>
            <w:tcMar>
              <w:top w:w="80" w:type="dxa"/>
              <w:start w:w="90" w:type="dxa"/>
              <w:bottom w:w="80" w:type="dxa"/>
              <w:end w:w="90" w:type="dxa"/>
            </w:tcMar>
            <w:vAlign w:val="top"/>
          </w:tcPr>
          <w:p>
            <w:r>
              <w:rPr>
                <w:sz w:val="17"/>
              </w:rPr>
              <w:t>Production controls, migration, backup/recovery, transaction correction, user administration.</w:t>
            </w:r>
          </w:p>
        </w:tc>
        <w:tc>
          <w:tcPr>
            <w:tcW w:type="dxa" w:w="3312"/>
            <w:tcMar>
              <w:top w:w="80" w:type="dxa"/>
              <w:start w:w="90" w:type="dxa"/>
              <w:bottom w:w="80" w:type="dxa"/>
              <w:end w:w="90" w:type="dxa"/>
            </w:tcMar>
            <w:vAlign w:val="top"/>
          </w:tcPr>
          <w:p>
            <w:r>
              <w:rPr>
                <w:sz w:val="17"/>
              </w:rPr>
              <w:t>All application privileges.</w:t>
            </w:r>
          </w:p>
        </w:tc>
      </w:tr>
      <w:tr>
        <w:tc>
          <w:tcPr>
            <w:tcW w:type="dxa" w:w="1872"/>
            <w:tcMar>
              <w:top w:w="80" w:type="dxa"/>
              <w:start w:w="90" w:type="dxa"/>
              <w:bottom w:w="80" w:type="dxa"/>
              <w:end w:w="90" w:type="dxa"/>
            </w:tcMar>
            <w:vAlign w:val="top"/>
          </w:tcPr>
          <w:p>
            <w:r>
              <w:rPr>
                <w:sz w:val="17"/>
              </w:rPr>
              <w:t>Read-only / inactive</w:t>
            </w:r>
          </w:p>
        </w:tc>
        <w:tc>
          <w:tcPr>
            <w:tcW w:type="dxa" w:w="5184"/>
            <w:tcMar>
              <w:top w:w="80" w:type="dxa"/>
              <w:start w:w="90" w:type="dxa"/>
              <w:bottom w:w="80" w:type="dxa"/>
              <w:end w:w="90" w:type="dxa"/>
            </w:tcMar>
            <w:vAlign w:val="top"/>
          </w:tcPr>
          <w:p>
            <w:r>
              <w:rPr>
                <w:sz w:val="17"/>
              </w:rPr>
              <w:t>Reference only or disabled account.</w:t>
            </w:r>
          </w:p>
        </w:tc>
        <w:tc>
          <w:tcPr>
            <w:tcW w:type="dxa" w:w="3312"/>
            <w:tcMar>
              <w:top w:w="80" w:type="dxa"/>
              <w:start w:w="90" w:type="dxa"/>
              <w:bottom w:w="80" w:type="dxa"/>
              <w:end w:w="90" w:type="dxa"/>
            </w:tcMar>
            <w:vAlign w:val="top"/>
          </w:tcPr>
          <w:p>
            <w:r>
              <w:rPr>
                <w:sz w:val="17"/>
              </w:rPr>
              <w:t>No write privileges.</w:t>
            </w:r>
          </w:p>
        </w:tc>
      </w:tr>
    </w:tbl>
    <w:p>
      <w:r>
        <w:t>Authorization is enforced server-side from the Users table; the browser UI is not the security boundary. The web app runs as the user accessing it, which also means underlying Google Drive / Sheets permissions must permit the operation.</w:t>
      </w:r>
    </w:p>
    <w:p>
      <w:pPr>
        <w:pStyle w:val="Heading1"/>
      </w:pPr>
      <w:r>
        <w:t>5. Deployed Architecture</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Google User</w:t>
              <w:br/>
              <w:t xml:space="preserve">    |</w:t>
              <w:br/>
              <w:t xml:space="preserve">    v</w:t>
              <w:br/>
              <w:t>Bound Apps Script Web App</w:t>
              <w:br/>
              <w:t xml:space="preserve">  - HTML/CSS/JS UI</w:t>
              <w:br/>
              <w:t xml:space="preserve">  - view routing: Field / Admin / Owner</w:t>
              <w:br/>
              <w:t xml:space="preserve">  - thin server adapters</w:t>
              <w:br/>
              <w:t xml:space="preserve">  - environment/database selection via Script Properties</w:t>
              <w:br/>
              <w:t xml:space="preserve">    |</w:t>
              <w:br/>
              <w:t xml:space="preserve">    v</w:t>
              <w:br/>
              <w:t>FMRCoreV3 Apps Script Library (immutable v37)</w:t>
              <w:br/>
              <w:t xml:space="preserve">  - domain validation</w:t>
              <w:br/>
              <w:t xml:space="preserve">  - authorization</w:t>
              <w:br/>
              <w:t xml:space="preserve">  - transaction/backorder/bag logic</w:t>
              <w:br/>
              <w:t xml:space="preserve">  - import/migration</w:t>
              <w:br/>
              <w:t xml:space="preserve">  - indexing/cache</w:t>
              <w:br/>
              <w:t xml:space="preserve">  - backup/recovery/readiness</w:t>
              <w:br/>
              <w:t xml:space="preserve">  - audit</w:t>
              <w:br/>
              <w:t xml:space="preserve">    |</w:t>
              <w:br/>
              <w:t xml:space="preserve">    +-------------------+-------------------+</w:t>
              <w:br/>
              <w:t xml:space="preserve">    |                   |                   |</w:t>
              <w:br/>
              <w:t xml:space="preserve">    v                   v                   v</w:t>
              <w:br/>
              <w:t>Google Sheets        Google Drive       Apps Script Services</w:t>
              <w:br/>
              <w:t>Production DB        source files       CacheService</w:t>
              <w:br/>
              <w:t xml:space="preserve">                    backup copies       LockService</w:t>
              <w:br/>
              <w:t xml:space="preserve">                                       PropertiesService</w:t>
              <w:br/>
              <w:t xml:space="preserve">                                       time-driven triggers</w:t>
              <w:br/>
            </w:r>
          </w:p>
        </w:tc>
      </w:tr>
    </w:tbl>
    <w:p>
      <w:r>
        <w:t>The Bound project and Core library are intentionally separated. Bound contains the presentation layer and adapter functions. FMRCoreV3 contains the reusable domain behavior. Production and Test use separate Bound deployments and separate database spreadsheets, while sharing the same immutable Core library release.</w:t>
      </w:r>
    </w:p>
    <w:p>
      <w:pPr>
        <w:pStyle w:val="Heading1"/>
      </w:pPr>
      <w:r>
        <w:t>6. Environment Separation and Release Topology</w:t>
      </w:r>
    </w:p>
    <w:p>
      <w:pPr>
        <w:pStyle w:val="ListBullet"/>
        <w:spacing w:after="40"/>
      </w:pPr>
      <w:r>
        <w:t>TEST and PRODUCTION use separate Google Sheets databases and separate Bound Apps Script projects/deployments.</w:t>
      </w:r>
    </w:p>
    <w:p>
      <w:pPr>
        <w:pStyle w:val="ListBullet"/>
        <w:spacing w:after="40"/>
      </w:pPr>
      <w:r>
        <w:t>The active environment and environment-specific database IDs are stored in Script Properties.</w:t>
      </w:r>
    </w:p>
    <w:p>
      <w:pPr>
        <w:pStyle w:val="ListBullet"/>
        <w:spacing w:after="40"/>
      </w:pPr>
      <w:r>
        <w:t>The shared FMRCoreV3 library is published as immutable Apps Script versions; Bound/appsscript.json pins the exact library version.</w:t>
      </w:r>
    </w:p>
    <w:p>
      <w:pPr>
        <w:pStyle w:val="ListBullet"/>
        <w:spacing w:after="40"/>
      </w:pPr>
      <w:r>
        <w:t>The Alpha 30.4.1 cache-isolation fix added the active database fingerprint to index cache keys so TEST and PROD cannot reuse one another's cached Search_Index results.</w:t>
      </w:r>
    </w:p>
    <w:p>
      <w:pPr>
        <w:pStyle w:val="ListBullet"/>
        <w:spacing w:after="40"/>
      </w:pPr>
      <w:r>
        <w:t>GitHub is the source-control record; Apps Script deployments are still performed manually.</w:t>
      </w:r>
    </w:p>
    <w:p>
      <w:pPr>
        <w:pStyle w:val="Heading1"/>
      </w:pPr>
      <w:r>
        <w:t>7. Data Model — Production System of Record</w:t>
      </w:r>
    </w:p>
    <w:p>
      <w:r>
        <w:t>The Production spreadsheet is not a flat workbook. It implements a relational-style schema across multiple sheets. The most important tables are summarized below.</w:t>
      </w:r>
    </w:p>
    <w:tbl>
      <w:tblPr>
        <w:tblStyle w:val="TableGrid"/>
        <w:tblW w:type="auto" w:w="0"/>
        <w:jc w:val="center"/>
        <w:tblLook w:firstColumn="1" w:firstRow="1" w:lastColumn="0" w:lastRow="0" w:noHBand="0" w:noVBand="1" w:val="04A0"/>
      </w:tblPr>
      <w:tblGrid>
        <w:gridCol w:w="5083"/>
        <w:gridCol w:w="5083"/>
      </w:tblGrid>
      <w:tr>
        <w:tc>
          <w:tcPr>
            <w:tcW w:type="dxa" w:w="3240"/>
            <w:shd w:fill="17365D"/>
            <w:tcMar>
              <w:top w:w="80" w:type="dxa"/>
              <w:start w:w="90" w:type="dxa"/>
              <w:bottom w:w="80" w:type="dxa"/>
              <w:end w:w="90" w:type="dxa"/>
            </w:tcMar>
          </w:tcPr>
          <w:p>
            <w:r>
              <w:rPr>
                <w:b/>
                <w:color w:val="FFFFFF"/>
                <w:sz w:val="17"/>
              </w:rPr>
              <w:t>Sheet / table</w:t>
            </w:r>
          </w:p>
        </w:tc>
        <w:tc>
          <w:tcPr>
            <w:tcW w:type="dxa" w:w="7200"/>
            <w:shd w:fill="17365D"/>
            <w:tcMar>
              <w:top w:w="80" w:type="dxa"/>
              <w:start w:w="90" w:type="dxa"/>
              <w:bottom w:w="80" w:type="dxa"/>
              <w:end w:w="90" w:type="dxa"/>
            </w:tcMar>
          </w:tcPr>
          <w:p>
            <w:r>
              <w:rPr>
                <w:b/>
                <w:color w:val="FFFFFF"/>
                <w:sz w:val="17"/>
              </w:rPr>
              <w:t>Role in the system</w:t>
            </w:r>
          </w:p>
        </w:tc>
      </w:tr>
      <w:tr>
        <w:tc>
          <w:tcPr>
            <w:tcW w:type="dxa" w:w="3240"/>
            <w:tcMar>
              <w:top w:w="80" w:type="dxa"/>
              <w:start w:w="90" w:type="dxa"/>
              <w:bottom w:w="80" w:type="dxa"/>
              <w:end w:w="90" w:type="dxa"/>
            </w:tcMar>
            <w:vAlign w:val="top"/>
          </w:tcPr>
          <w:p>
            <w:r>
              <w:rPr>
                <w:sz w:val="17"/>
              </w:rPr>
              <w:t>FMR_Header</w:t>
            </w:r>
          </w:p>
        </w:tc>
        <w:tc>
          <w:tcPr>
            <w:tcW w:type="dxa" w:w="7200"/>
            <w:tcMar>
              <w:top w:w="80" w:type="dxa"/>
              <w:start w:w="90" w:type="dxa"/>
              <w:bottom w:w="80" w:type="dxa"/>
              <w:end w:w="90" w:type="dxa"/>
            </w:tcMar>
            <w:vAlign w:val="top"/>
          </w:tcPr>
          <w:p>
            <w:r>
              <w:rPr>
                <w:sz w:val="17"/>
              </w:rPr>
              <w:t>One row per published FMR; stores aggregate quantities, lifecycle status, fulfillment, source staging ID, and activity timestamps.</w:t>
            </w:r>
          </w:p>
        </w:tc>
      </w:tr>
      <w:tr>
        <w:tc>
          <w:tcPr>
            <w:tcW w:type="dxa" w:w="3240"/>
            <w:tcMar>
              <w:top w:w="80" w:type="dxa"/>
              <w:start w:w="90" w:type="dxa"/>
              <w:bottom w:w="80" w:type="dxa"/>
              <w:end w:w="90" w:type="dxa"/>
            </w:tcMar>
            <w:vAlign w:val="top"/>
          </w:tcPr>
          <w:p>
            <w:r>
              <w:rPr>
                <w:sz w:val="17"/>
              </w:rPr>
              <w:t>FMR_Line_Items</w:t>
            </w:r>
          </w:p>
        </w:tc>
        <w:tc>
          <w:tcPr>
            <w:tcW w:type="dxa" w:w="7200"/>
            <w:tcMar>
              <w:top w:w="80" w:type="dxa"/>
              <w:start w:w="90" w:type="dxa"/>
              <w:bottom w:w="80" w:type="dxa"/>
              <w:end w:w="90" w:type="dxa"/>
            </w:tcMar>
            <w:vAlign w:val="top"/>
          </w:tcPr>
          <w:p>
            <w:r>
              <w:rPr>
                <w:sz w:val="17"/>
              </w:rPr>
              <w:t>One row per material line; authoritative current quantities and line status.</w:t>
            </w:r>
          </w:p>
        </w:tc>
      </w:tr>
      <w:tr>
        <w:tc>
          <w:tcPr>
            <w:tcW w:type="dxa" w:w="3240"/>
            <w:tcMar>
              <w:top w:w="80" w:type="dxa"/>
              <w:start w:w="90" w:type="dxa"/>
              <w:bottom w:w="80" w:type="dxa"/>
              <w:end w:w="90" w:type="dxa"/>
            </w:tcMar>
            <w:vAlign w:val="top"/>
          </w:tcPr>
          <w:p>
            <w:r>
              <w:rPr>
                <w:sz w:val="17"/>
              </w:rPr>
              <w:t>Material_Transactions</w:t>
            </w:r>
          </w:p>
        </w:tc>
        <w:tc>
          <w:tcPr>
            <w:tcW w:type="dxa" w:w="7200"/>
            <w:tcMar>
              <w:top w:w="80" w:type="dxa"/>
              <w:start w:w="90" w:type="dxa"/>
              <w:bottom w:w="80" w:type="dxa"/>
              <w:end w:w="90" w:type="dxa"/>
            </w:tcMar>
            <w:vAlign w:val="top"/>
          </w:tcPr>
          <w:p>
            <w:r>
              <w:rPr>
                <w:sz w:val="17"/>
              </w:rPr>
              <w:t>Append-only ledger of field material actions. Notes entered in the Field UI are stored here.</w:t>
            </w:r>
          </w:p>
        </w:tc>
      </w:tr>
      <w:tr>
        <w:tc>
          <w:tcPr>
            <w:tcW w:type="dxa" w:w="3240"/>
            <w:tcMar>
              <w:top w:w="80" w:type="dxa"/>
              <w:start w:w="90" w:type="dxa"/>
              <w:bottom w:w="80" w:type="dxa"/>
              <w:end w:w="90" w:type="dxa"/>
            </w:tcMar>
            <w:vAlign w:val="top"/>
          </w:tcPr>
          <w:p>
            <w:r>
              <w:rPr>
                <w:sz w:val="17"/>
              </w:rPr>
              <w:t>Backorder_Requests</w:t>
            </w:r>
          </w:p>
        </w:tc>
        <w:tc>
          <w:tcPr>
            <w:tcW w:type="dxa" w:w="7200"/>
            <w:tcMar>
              <w:top w:w="80" w:type="dxa"/>
              <w:start w:w="90" w:type="dxa"/>
              <w:bottom w:w="80" w:type="dxa"/>
              <w:end w:w="90" w:type="dxa"/>
            </w:tcMar>
            <w:vAlign w:val="top"/>
          </w:tcPr>
          <w:p>
            <w:r>
              <w:rPr>
                <w:sz w:val="17"/>
              </w:rPr>
              <w:t>Backorder request/decision lifecycle, field notes, admin notes, quantities, and status.</w:t>
            </w:r>
          </w:p>
        </w:tc>
      </w:tr>
      <w:tr>
        <w:tc>
          <w:tcPr>
            <w:tcW w:type="dxa" w:w="3240"/>
            <w:tcMar>
              <w:top w:w="80" w:type="dxa"/>
              <w:start w:w="90" w:type="dxa"/>
              <w:bottom w:w="80" w:type="dxa"/>
              <w:end w:w="90" w:type="dxa"/>
            </w:tcMar>
            <w:vAlign w:val="top"/>
          </w:tcPr>
          <w:p>
            <w:r>
              <w:rPr>
                <w:sz w:val="17"/>
              </w:rPr>
              <w:t>Bag_Tag_Header / Bag_Tag_Items</w:t>
            </w:r>
          </w:p>
        </w:tc>
        <w:tc>
          <w:tcPr>
            <w:tcW w:type="dxa" w:w="7200"/>
            <w:tcMar>
              <w:top w:w="80" w:type="dxa"/>
              <w:start w:w="90" w:type="dxa"/>
              <w:bottom w:w="80" w:type="dxa"/>
              <w:end w:w="90" w:type="dxa"/>
            </w:tcMar>
            <w:vAlign w:val="top"/>
          </w:tcPr>
          <w:p>
            <w:r>
              <w:rPr>
                <w:sz w:val="17"/>
              </w:rPr>
              <w:t>Reservation containers and per-material bag state.</w:t>
            </w:r>
          </w:p>
        </w:tc>
      </w:tr>
      <w:tr>
        <w:tc>
          <w:tcPr>
            <w:tcW w:type="dxa" w:w="3240"/>
            <w:tcMar>
              <w:top w:w="80" w:type="dxa"/>
              <w:start w:w="90" w:type="dxa"/>
              <w:bottom w:w="80" w:type="dxa"/>
              <w:end w:w="90" w:type="dxa"/>
            </w:tcMar>
            <w:vAlign w:val="top"/>
          </w:tcPr>
          <w:p>
            <w:r>
              <w:rPr>
                <w:sz w:val="17"/>
              </w:rPr>
              <w:t>Search_Index</w:t>
            </w:r>
          </w:p>
        </w:tc>
        <w:tc>
          <w:tcPr>
            <w:tcW w:type="dxa" w:w="7200"/>
            <w:tcMar>
              <w:top w:w="80" w:type="dxa"/>
              <w:start w:w="90" w:type="dxa"/>
              <w:bottom w:w="80" w:type="dxa"/>
              <w:end w:w="90" w:type="dxa"/>
            </w:tcMar>
            <w:vAlign w:val="top"/>
          </w:tcPr>
          <w:p>
            <w:r>
              <w:rPr>
                <w:sz w:val="17"/>
              </w:rPr>
              <w:t>Exact lookup entries for FMR, ISO, and line keys; points to current header/line rows.</w:t>
            </w:r>
          </w:p>
        </w:tc>
      </w:tr>
      <w:tr>
        <w:tc>
          <w:tcPr>
            <w:tcW w:type="dxa" w:w="3240"/>
            <w:tcMar>
              <w:top w:w="80" w:type="dxa"/>
              <w:start w:w="90" w:type="dxa"/>
              <w:bottom w:w="80" w:type="dxa"/>
              <w:end w:w="90" w:type="dxa"/>
            </w:tcMar>
            <w:vAlign w:val="top"/>
          </w:tcPr>
          <w:p>
            <w:r>
              <w:rPr>
                <w:sz w:val="17"/>
              </w:rPr>
              <w:t>Operational_Index</w:t>
            </w:r>
          </w:p>
        </w:tc>
        <w:tc>
          <w:tcPr>
            <w:tcW w:type="dxa" w:w="7200"/>
            <w:tcMar>
              <w:top w:w="80" w:type="dxa"/>
              <w:start w:w="90" w:type="dxa"/>
              <w:bottom w:w="80" w:type="dxa"/>
              <w:end w:w="90" w:type="dxa"/>
            </w:tcMar>
            <w:vAlign w:val="top"/>
          </w:tcPr>
          <w:p>
            <w:r>
              <w:rPr>
                <w:sz w:val="17"/>
              </w:rPr>
              <w:t>Fast lookup rows for operational objects and queues.</w:t>
            </w:r>
          </w:p>
        </w:tc>
      </w:tr>
      <w:tr>
        <w:tc>
          <w:tcPr>
            <w:tcW w:type="dxa" w:w="3240"/>
            <w:tcMar>
              <w:top w:w="80" w:type="dxa"/>
              <w:start w:w="90" w:type="dxa"/>
              <w:bottom w:w="80" w:type="dxa"/>
              <w:end w:w="90" w:type="dxa"/>
            </w:tcMar>
            <w:vAlign w:val="top"/>
          </w:tcPr>
          <w:p>
            <w:r>
              <w:rPr>
                <w:sz w:val="17"/>
              </w:rPr>
              <w:t>Import_Staging_Header / Import_Staging_Lines</w:t>
            </w:r>
          </w:p>
        </w:tc>
        <w:tc>
          <w:tcPr>
            <w:tcW w:type="dxa" w:w="7200"/>
            <w:tcMar>
              <w:top w:w="80" w:type="dxa"/>
              <w:start w:w="90" w:type="dxa"/>
              <w:bottom w:w="80" w:type="dxa"/>
              <w:end w:w="90" w:type="dxa"/>
            </w:tcMar>
            <w:vAlign w:val="top"/>
          </w:tcPr>
          <w:p>
            <w:r>
              <w:rPr>
                <w:sz w:val="17"/>
              </w:rPr>
              <w:t>Reviewable, reversible staging layer before publication.</w:t>
            </w:r>
          </w:p>
        </w:tc>
      </w:tr>
      <w:tr>
        <w:tc>
          <w:tcPr>
            <w:tcW w:type="dxa" w:w="3240"/>
            <w:tcMar>
              <w:top w:w="80" w:type="dxa"/>
              <w:start w:w="90" w:type="dxa"/>
              <w:bottom w:w="80" w:type="dxa"/>
              <w:end w:w="90" w:type="dxa"/>
            </w:tcMar>
            <w:vAlign w:val="top"/>
          </w:tcPr>
          <w:p>
            <w:r>
              <w:rPr>
                <w:sz w:val="17"/>
              </w:rPr>
              <w:t>Bulk_Import_*</w:t>
            </w:r>
          </w:p>
        </w:tc>
        <w:tc>
          <w:tcPr>
            <w:tcW w:type="dxa" w:w="7200"/>
            <w:tcMar>
              <w:top w:w="80" w:type="dxa"/>
              <w:start w:w="90" w:type="dxa"/>
              <w:bottom w:w="80" w:type="dxa"/>
              <w:end w:w="90" w:type="dxa"/>
            </w:tcMar>
            <w:vAlign w:val="top"/>
          </w:tcPr>
          <w:p>
            <w:r>
              <w:rPr>
                <w:sz w:val="17"/>
              </w:rPr>
              <w:t>Parser batches, worksheet items, parsed lines, and parser issues.</w:t>
            </w:r>
          </w:p>
        </w:tc>
      </w:tr>
      <w:tr>
        <w:tc>
          <w:tcPr>
            <w:tcW w:type="dxa" w:w="3240"/>
            <w:tcMar>
              <w:top w:w="80" w:type="dxa"/>
              <w:start w:w="90" w:type="dxa"/>
              <w:bottom w:w="80" w:type="dxa"/>
              <w:end w:w="90" w:type="dxa"/>
            </w:tcMar>
            <w:vAlign w:val="top"/>
          </w:tcPr>
          <w:p>
            <w:r>
              <w:rPr>
                <w:sz w:val="17"/>
              </w:rPr>
              <w:t>Audit_Log</w:t>
            </w:r>
          </w:p>
        </w:tc>
        <w:tc>
          <w:tcPr>
            <w:tcW w:type="dxa" w:w="7200"/>
            <w:tcMar>
              <w:top w:w="80" w:type="dxa"/>
              <w:start w:w="90" w:type="dxa"/>
              <w:bottom w:w="80" w:type="dxa"/>
              <w:end w:w="90" w:type="dxa"/>
            </w:tcMar>
            <w:vAlign w:val="top"/>
          </w:tcPr>
          <w:p>
            <w:r>
              <w:rPr>
                <w:sz w:val="17"/>
              </w:rPr>
              <w:t>Governance history and significant application actions.</w:t>
            </w:r>
          </w:p>
        </w:tc>
      </w:tr>
      <w:tr>
        <w:tc>
          <w:tcPr>
            <w:tcW w:type="dxa" w:w="3240"/>
            <w:tcMar>
              <w:top w:w="80" w:type="dxa"/>
              <w:start w:w="90" w:type="dxa"/>
              <w:bottom w:w="80" w:type="dxa"/>
              <w:end w:w="90" w:type="dxa"/>
            </w:tcMar>
            <w:vAlign w:val="top"/>
          </w:tcPr>
          <w:p>
            <w:r>
              <w:rPr>
                <w:sz w:val="17"/>
              </w:rPr>
              <w:t>Backup_History / Recovery_Actions / Operational_Health_Log</w:t>
            </w:r>
          </w:p>
        </w:tc>
        <w:tc>
          <w:tcPr>
            <w:tcW w:type="dxa" w:w="7200"/>
            <w:tcMar>
              <w:top w:w="80" w:type="dxa"/>
              <w:start w:w="90" w:type="dxa"/>
              <w:bottom w:w="80" w:type="dxa"/>
              <w:end w:w="90" w:type="dxa"/>
            </w:tcMar>
            <w:vAlign w:val="top"/>
          </w:tcPr>
          <w:p>
            <w:r>
              <w:rPr>
                <w:sz w:val="17"/>
              </w:rPr>
              <w:t>Production safety and operating controls.</w:t>
            </w:r>
          </w:p>
        </w:tc>
      </w:tr>
      <w:tr>
        <w:tc>
          <w:tcPr>
            <w:tcW w:type="dxa" w:w="3240"/>
            <w:tcMar>
              <w:top w:w="80" w:type="dxa"/>
              <w:start w:w="90" w:type="dxa"/>
              <w:bottom w:w="80" w:type="dxa"/>
              <w:end w:w="90" w:type="dxa"/>
            </w:tcMar>
            <w:vAlign w:val="top"/>
          </w:tcPr>
          <w:p>
            <w:r>
              <w:rPr>
                <w:sz w:val="17"/>
              </w:rPr>
              <w:t>Configuration / Users / Lists</w:t>
            </w:r>
          </w:p>
        </w:tc>
        <w:tc>
          <w:tcPr>
            <w:tcW w:type="dxa" w:w="7200"/>
            <w:tcMar>
              <w:top w:w="80" w:type="dxa"/>
              <w:start w:w="90" w:type="dxa"/>
              <w:bottom w:w="80" w:type="dxa"/>
              <w:end w:w="90" w:type="dxa"/>
            </w:tcMar>
            <w:vAlign w:val="top"/>
          </w:tcPr>
          <w:p>
            <w:r>
              <w:rPr>
                <w:sz w:val="17"/>
              </w:rPr>
              <w:t>Environment configuration, RBAC, and controlled list values.</w:t>
            </w:r>
          </w:p>
        </w:tc>
      </w:tr>
    </w:tbl>
    <w:p>
      <w:pPr>
        <w:pStyle w:val="Heading1"/>
      </w:pPr>
      <w:r>
        <w:t>8. Quantity State Model</w:t>
      </w:r>
    </w:p>
    <w:p>
      <w:r>
        <w:t>Every published material line carries a requested quantity and a set of operational state quantities. Current-state fields are updated together with immutable transaction records so the UI can answer operational questions quickly.</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Requested</w:t>
              <w:br/>
              <w:t xml:space="preserve">  |</w:t>
              <w:br/>
              <w:t xml:space="preserve">  +--&gt; Confirmed Located</w:t>
              <w:br/>
              <w:t xml:space="preserve">  |      +--&gt; Available</w:t>
              <w:br/>
              <w:t xml:space="preserve">  |      +--&gt; Bagged / Reserved</w:t>
              <w:br/>
              <w:t xml:space="preserve">  |      +--&gt; Issued</w:t>
              <w:br/>
              <w:t xml:space="preserve">  |</w:t>
              <w:br/>
              <w:t xml:space="preserve">  +--&gt; Pending Backorder</w:t>
              <w:br/>
              <w:t xml:space="preserve">  +--&gt; Confirmed Backorder</w:t>
              <w:br/>
              <w:t xml:space="preserve">  +--&gt; Not Yet Located</w:t>
              <w:br/>
              <w:br/>
              <w:t>Remaining Requirement is derived/maintained from the above state.</w:t>
              <w:br/>
              <w:t>Header totals are refreshed from indexed line state.</w:t>
              <w:br/>
            </w:r>
          </w:p>
        </w:tc>
      </w:tr>
    </w:tbl>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b/>
                <w:color w:val="17365D"/>
              </w:rPr>
              <w:t>Important invariant</w:t>
            </w:r>
          </w:p>
          <w:p>
            <w:pPr>
              <w:spacing w:after="0"/>
            </w:pPr>
            <w:r>
              <w:t>Requested quantity is demand, not proof that material was received. Availability is established by operational actions such as Confirm Available / Bag &amp; Tag, not by the original FMR request.</w:t>
            </w:r>
          </w:p>
        </w:tc>
      </w:tr>
    </w:tbl>
    <w:p>
      <w:pPr>
        <w:pStyle w:val="Heading1"/>
      </w:pPr>
      <w:r>
        <w:t>9. Core Field Workflows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65D"/>
            <w:tcMar>
              <w:top w:w="80" w:type="dxa"/>
              <w:start w:w="90" w:type="dxa"/>
              <w:bottom w:w="80" w:type="dxa"/>
              <w:end w:w="90" w:type="dxa"/>
            </w:tcMar>
          </w:tcPr>
          <w:p>
            <w:r>
              <w:rPr>
                <w:b/>
                <w:color w:val="FFFFFF"/>
                <w:sz w:val="17"/>
              </w:rPr>
              <w:t>Action</w:t>
            </w:r>
          </w:p>
        </w:tc>
        <w:tc>
          <w:tcPr>
            <w:tcW w:type="dxa" w:w="3744"/>
            <w:shd w:fill="17365D"/>
            <w:tcMar>
              <w:top w:w="80" w:type="dxa"/>
              <w:start w:w="90" w:type="dxa"/>
              <w:bottom w:w="80" w:type="dxa"/>
              <w:end w:w="90" w:type="dxa"/>
            </w:tcMar>
          </w:tcPr>
          <w:p>
            <w:r>
              <w:rPr>
                <w:b/>
                <w:color w:val="FFFFFF"/>
                <w:sz w:val="17"/>
              </w:rPr>
              <w:t>Purpose</w:t>
            </w:r>
          </w:p>
        </w:tc>
        <w:tc>
          <w:tcPr>
            <w:tcW w:type="dxa" w:w="4608"/>
            <w:shd w:fill="17365D"/>
            <w:tcMar>
              <w:top w:w="80" w:type="dxa"/>
              <w:start w:w="90" w:type="dxa"/>
              <w:bottom w:w="80" w:type="dxa"/>
              <w:end w:w="90" w:type="dxa"/>
            </w:tcMar>
          </w:tcPr>
          <w:p>
            <w:r>
              <w:rPr>
                <w:b/>
                <w:color w:val="FFFFFF"/>
                <w:sz w:val="17"/>
              </w:rPr>
              <w:t>Ledger / state behavior</w:t>
            </w:r>
          </w:p>
        </w:tc>
      </w:tr>
      <w:tr>
        <w:tc>
          <w:tcPr>
            <w:tcW w:type="dxa" w:w="2160"/>
            <w:tcMar>
              <w:top w:w="80" w:type="dxa"/>
              <w:start w:w="90" w:type="dxa"/>
              <w:bottom w:w="80" w:type="dxa"/>
              <w:end w:w="90" w:type="dxa"/>
            </w:tcMar>
            <w:vAlign w:val="top"/>
          </w:tcPr>
          <w:p>
            <w:r>
              <w:rPr>
                <w:sz w:val="17"/>
              </w:rPr>
              <w:t>CONFIRM_AVAILABLE</w:t>
            </w:r>
          </w:p>
        </w:tc>
        <w:tc>
          <w:tcPr>
            <w:tcW w:type="dxa" w:w="3744"/>
            <w:tcMar>
              <w:top w:w="80" w:type="dxa"/>
              <w:start w:w="90" w:type="dxa"/>
              <w:bottom w:w="80" w:type="dxa"/>
              <w:end w:w="90" w:type="dxa"/>
            </w:tcMar>
            <w:vAlign w:val="top"/>
          </w:tcPr>
          <w:p>
            <w:r>
              <w:rPr>
                <w:sz w:val="17"/>
              </w:rPr>
              <w:t>Material located and available for later issue.</w:t>
            </w:r>
          </w:p>
        </w:tc>
        <w:tc>
          <w:tcPr>
            <w:tcW w:type="dxa" w:w="4608"/>
            <w:tcMar>
              <w:top w:w="80" w:type="dxa"/>
              <w:start w:w="90" w:type="dxa"/>
              <w:bottom w:w="80" w:type="dxa"/>
              <w:end w:w="90" w:type="dxa"/>
            </w:tcMar>
            <w:vAlign w:val="top"/>
          </w:tcPr>
          <w:p>
            <w:r>
              <w:rPr>
                <w:sz w:val="17"/>
              </w:rPr>
              <w:t>Creates transaction; updates confirmed/available quantities.</w:t>
            </w:r>
          </w:p>
        </w:tc>
      </w:tr>
      <w:tr>
        <w:tc>
          <w:tcPr>
            <w:tcW w:type="dxa" w:w="2160"/>
            <w:tcMar>
              <w:top w:w="80" w:type="dxa"/>
              <w:start w:w="90" w:type="dxa"/>
              <w:bottom w:w="80" w:type="dxa"/>
              <w:end w:w="90" w:type="dxa"/>
            </w:tcMar>
            <w:vAlign w:val="top"/>
          </w:tcPr>
          <w:p>
            <w:r>
              <w:rPr>
                <w:sz w:val="17"/>
              </w:rPr>
              <w:t>BAG</w:t>
            </w:r>
          </w:p>
        </w:tc>
        <w:tc>
          <w:tcPr>
            <w:tcW w:type="dxa" w:w="3744"/>
            <w:tcMar>
              <w:top w:w="80" w:type="dxa"/>
              <w:start w:w="90" w:type="dxa"/>
              <w:bottom w:w="80" w:type="dxa"/>
              <w:end w:w="90" w:type="dxa"/>
            </w:tcMar>
            <w:vAlign w:val="top"/>
          </w:tcPr>
          <w:p>
            <w:r>
              <w:rPr>
                <w:sz w:val="17"/>
              </w:rPr>
              <w:t>Reserve located material under Bag &amp; Tag.</w:t>
            </w:r>
          </w:p>
        </w:tc>
        <w:tc>
          <w:tcPr>
            <w:tcW w:type="dxa" w:w="4608"/>
            <w:tcMar>
              <w:top w:w="80" w:type="dxa"/>
              <w:start w:w="90" w:type="dxa"/>
              <w:bottom w:w="80" w:type="dxa"/>
              <w:end w:w="90" w:type="dxa"/>
            </w:tcMar>
            <w:vAlign w:val="top"/>
          </w:tcPr>
          <w:p>
            <w:r>
              <w:rPr>
                <w:sz w:val="17"/>
              </w:rPr>
              <w:t>Creates bag header/items as needed; moves state into bagged/reserved.</w:t>
            </w:r>
          </w:p>
        </w:tc>
      </w:tr>
      <w:tr>
        <w:tc>
          <w:tcPr>
            <w:tcW w:type="dxa" w:w="2160"/>
            <w:tcMar>
              <w:top w:w="80" w:type="dxa"/>
              <w:start w:w="90" w:type="dxa"/>
              <w:bottom w:w="80" w:type="dxa"/>
              <w:end w:w="90" w:type="dxa"/>
            </w:tcMar>
            <w:vAlign w:val="top"/>
          </w:tcPr>
          <w:p>
            <w:r>
              <w:rPr>
                <w:sz w:val="17"/>
              </w:rPr>
              <w:t>DIRECT_ISSUE</w:t>
            </w:r>
          </w:p>
        </w:tc>
        <w:tc>
          <w:tcPr>
            <w:tcW w:type="dxa" w:w="3744"/>
            <w:tcMar>
              <w:top w:w="80" w:type="dxa"/>
              <w:start w:w="90" w:type="dxa"/>
              <w:bottom w:w="80" w:type="dxa"/>
              <w:end w:w="90" w:type="dxa"/>
            </w:tcMar>
            <w:vAlign w:val="top"/>
          </w:tcPr>
          <w:p>
            <w:r>
              <w:rPr>
                <w:sz w:val="17"/>
              </w:rPr>
              <w:t>Locate and immediately issue.</w:t>
            </w:r>
          </w:p>
        </w:tc>
        <w:tc>
          <w:tcPr>
            <w:tcW w:type="dxa" w:w="4608"/>
            <w:tcMar>
              <w:top w:w="80" w:type="dxa"/>
              <w:start w:w="90" w:type="dxa"/>
              <w:bottom w:w="80" w:type="dxa"/>
              <w:end w:w="90" w:type="dxa"/>
            </w:tcMar>
            <w:vAlign w:val="top"/>
          </w:tcPr>
          <w:p>
            <w:r>
              <w:rPr>
                <w:sz w:val="17"/>
              </w:rPr>
              <w:t>Creates immutable issue transaction; recipient required.</w:t>
            </w:r>
          </w:p>
        </w:tc>
      </w:tr>
      <w:tr>
        <w:tc>
          <w:tcPr>
            <w:tcW w:type="dxa" w:w="2160"/>
            <w:tcMar>
              <w:top w:w="80" w:type="dxa"/>
              <w:start w:w="90" w:type="dxa"/>
              <w:bottom w:w="80" w:type="dxa"/>
              <w:end w:w="90" w:type="dxa"/>
            </w:tcMar>
            <w:vAlign w:val="top"/>
          </w:tcPr>
          <w:p>
            <w:r>
              <w:rPr>
                <w:sz w:val="17"/>
              </w:rPr>
              <w:t>ISSUE_FROM_AVAILABLE</w:t>
            </w:r>
          </w:p>
        </w:tc>
        <w:tc>
          <w:tcPr>
            <w:tcW w:type="dxa" w:w="3744"/>
            <w:tcMar>
              <w:top w:w="80" w:type="dxa"/>
              <w:start w:w="90" w:type="dxa"/>
              <w:bottom w:w="80" w:type="dxa"/>
              <w:end w:w="90" w:type="dxa"/>
            </w:tcMar>
            <w:vAlign w:val="top"/>
          </w:tcPr>
          <w:p>
            <w:r>
              <w:rPr>
                <w:sz w:val="17"/>
              </w:rPr>
              <w:t>Issue previously confirmed available material.</w:t>
            </w:r>
          </w:p>
        </w:tc>
        <w:tc>
          <w:tcPr>
            <w:tcW w:type="dxa" w:w="4608"/>
            <w:tcMar>
              <w:top w:w="80" w:type="dxa"/>
              <w:start w:w="90" w:type="dxa"/>
              <w:bottom w:w="80" w:type="dxa"/>
              <w:end w:w="90" w:type="dxa"/>
            </w:tcMar>
            <w:vAlign w:val="top"/>
          </w:tcPr>
          <w:p>
            <w:r>
              <w:rPr>
                <w:sz w:val="17"/>
              </w:rPr>
              <w:t>Moves available quantity to issued.</w:t>
            </w:r>
          </w:p>
        </w:tc>
      </w:tr>
      <w:tr>
        <w:tc>
          <w:tcPr>
            <w:tcW w:type="dxa" w:w="2160"/>
            <w:tcMar>
              <w:top w:w="80" w:type="dxa"/>
              <w:start w:w="90" w:type="dxa"/>
              <w:bottom w:w="80" w:type="dxa"/>
              <w:end w:w="90" w:type="dxa"/>
            </w:tcMar>
            <w:vAlign w:val="top"/>
          </w:tcPr>
          <w:p>
            <w:r>
              <w:rPr>
                <w:sz w:val="17"/>
              </w:rPr>
              <w:t>ISSUE_FROM_BAG</w:t>
            </w:r>
          </w:p>
        </w:tc>
        <w:tc>
          <w:tcPr>
            <w:tcW w:type="dxa" w:w="3744"/>
            <w:tcMar>
              <w:top w:w="80" w:type="dxa"/>
              <w:start w:w="90" w:type="dxa"/>
              <w:bottom w:w="80" w:type="dxa"/>
              <w:end w:w="90" w:type="dxa"/>
            </w:tcMar>
            <w:vAlign w:val="top"/>
          </w:tcPr>
          <w:p>
            <w:r>
              <w:rPr>
                <w:sz w:val="17"/>
              </w:rPr>
              <w:t>Issue from reserved Bag &amp; Tag material.</w:t>
            </w:r>
          </w:p>
        </w:tc>
        <w:tc>
          <w:tcPr>
            <w:tcW w:type="dxa" w:w="4608"/>
            <w:tcMar>
              <w:top w:w="80" w:type="dxa"/>
              <w:start w:w="90" w:type="dxa"/>
              <w:bottom w:w="80" w:type="dxa"/>
              <w:end w:w="90" w:type="dxa"/>
            </w:tcMar>
            <w:vAlign w:val="top"/>
          </w:tcPr>
          <w:p>
            <w:r>
              <w:rPr>
                <w:sz w:val="17"/>
              </w:rPr>
              <w:t>Updates bag item remaining qty and line issued state.</w:t>
            </w:r>
          </w:p>
        </w:tc>
      </w:tr>
      <w:tr>
        <w:tc>
          <w:tcPr>
            <w:tcW w:type="dxa" w:w="2160"/>
            <w:tcMar>
              <w:top w:w="80" w:type="dxa"/>
              <w:start w:w="90" w:type="dxa"/>
              <w:bottom w:w="80" w:type="dxa"/>
              <w:end w:w="90" w:type="dxa"/>
            </w:tcMar>
            <w:vAlign w:val="top"/>
          </w:tcPr>
          <w:p>
            <w:r>
              <w:rPr>
                <w:sz w:val="17"/>
              </w:rPr>
              <w:t>BACKORDER_REQUESTED</w:t>
            </w:r>
          </w:p>
        </w:tc>
        <w:tc>
          <w:tcPr>
            <w:tcW w:type="dxa" w:w="3744"/>
            <w:tcMar>
              <w:top w:w="80" w:type="dxa"/>
              <w:start w:w="90" w:type="dxa"/>
              <w:bottom w:w="80" w:type="dxa"/>
              <w:end w:w="90" w:type="dxa"/>
            </w:tcMar>
            <w:vAlign w:val="top"/>
          </w:tcPr>
          <w:p>
            <w:r>
              <w:rPr>
                <w:sz w:val="17"/>
              </w:rPr>
              <w:t>Field reports unmet requirement for planner/material review.</w:t>
            </w:r>
          </w:p>
        </w:tc>
        <w:tc>
          <w:tcPr>
            <w:tcW w:type="dxa" w:w="4608"/>
            <w:tcMar>
              <w:top w:w="80" w:type="dxa"/>
              <w:start w:w="90" w:type="dxa"/>
              <w:bottom w:w="80" w:type="dxa"/>
              <w:end w:w="90" w:type="dxa"/>
            </w:tcMar>
            <w:vAlign w:val="top"/>
          </w:tcPr>
          <w:p>
            <w:r>
              <w:rPr>
                <w:sz w:val="17"/>
              </w:rPr>
              <w:t>Creates backorder request + transaction/notification state.</w:t>
            </w:r>
          </w:p>
        </w:tc>
      </w:tr>
    </w:tbl>
    <w:p>
      <w:pPr>
        <w:pStyle w:val="Heading1"/>
      </w:pPr>
      <w:r>
        <w:t>10. Admin Workflows</w:t>
      </w:r>
    </w:p>
    <w:p>
      <w:pPr>
        <w:pStyle w:val="ListBullet"/>
        <w:spacing w:after="40"/>
      </w:pPr>
      <w:r>
        <w:t>Published FMR register is loaded from FMR_Header without loading every material line.</w:t>
      </w:r>
    </w:p>
    <w:p>
      <w:pPr>
        <w:pStyle w:val="ListBullet"/>
        <w:spacing w:after="40"/>
      </w:pPr>
      <w:r>
        <w:t>Material detail loads only when an Admin selects Open, preserving dashboard responsiveness.</w:t>
      </w:r>
    </w:p>
    <w:p>
      <w:pPr>
        <w:pStyle w:val="ListBullet"/>
        <w:spacing w:after="40"/>
      </w:pPr>
      <w:r>
        <w:t>Operational queues separately surface actionable pending backorders and active Bags.</w:t>
      </w:r>
    </w:p>
    <w:p>
      <w:pPr>
        <w:pStyle w:val="ListBullet"/>
        <w:spacing w:after="40"/>
      </w:pPr>
      <w:r>
        <w:t>Approved / Confirmed Backorders can be filtered from the register using the CONFIRMED_BACKORDER filter and Backordered Only quick filter.</w:t>
      </w:r>
    </w:p>
    <w:p>
      <w:pPr>
        <w:pStyle w:val="ListBullet"/>
        <w:spacing w:after="40"/>
      </w:pPr>
      <w:r>
        <w:t>When confirmed-backorder filtering is active, opened FMR detail is narrowed to lines with confirmed backordered quantity.</w:t>
      </w:r>
    </w:p>
    <w:p>
      <w:pPr>
        <w:pStyle w:val="ListBullet"/>
        <w:spacing w:after="40"/>
      </w:pPr>
      <w:r>
        <w:t>Field notes are loaded on demand from Material_Transactions.Notes and Backorder_Requests.Field_Notes and displayed in expandable, bounded note panels.</w:t>
      </w:r>
    </w:p>
    <w:p>
      <w:pPr>
        <w:pStyle w:val="Heading1"/>
      </w:pPr>
      <w:r>
        <w:t>11. Backorder Lifecycle</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FIELD</w:t>
              <w:br/>
              <w:t xml:space="preserve">  BACKORDER_REQUESTED</w:t>
              <w:br/>
              <w:t xml:space="preserve">        |</w:t>
              <w:br/>
              <w:t xml:space="preserve">        v</w:t>
              <w:br/>
              <w:t>ADMIN</w:t>
              <w:br/>
              <w:t xml:space="preserve">  +--&gt; CONFIRM  -&gt; confirmed backorder qty</w:t>
              <w:br/>
              <w:t xml:space="preserve">  +--&gt; REJECT   -&gt; rejected notice / no confirmed qty</w:t>
              <w:br/>
              <w:t xml:space="preserve">  +--&gt; RETURN   -&gt; returned to Field for review</w:t>
              <w:br/>
              <w:t xml:space="preserve">                     |</w:t>
              <w:br/>
              <w:t xml:space="preserve">                     v</w:t>
              <w:br/>
              <w:t xml:space="preserve">                  Field resolves / resubmits as allowed</w:t>
              <w:br/>
            </w:r>
          </w:p>
        </w:tc>
      </w:tr>
    </w:tbl>
    <w:p>
      <w:r>
        <w:t>Pending Backorder Review and Approved / Confirmed Backorders are intentionally different views. The operational queue answers 'what still needs Admin action?' while the confirmed filter answers 'what material is already approved as backordered?'.</w:t>
      </w:r>
    </w:p>
    <w:p>
      <w:pPr>
        <w:pStyle w:val="Heading1"/>
      </w:pPr>
      <w:r>
        <w:t>12. Field Notes Design</w:t>
      </w:r>
    </w:p>
    <w:p>
      <w:r>
        <w:t>Field notes are not duplicated onto FMR_Line_Items. The authoritative note remains attached to the original material transaction or backorder request. Alpha 30.5 introduced an Admin-only detail service that retrieves notes for one FMR, groups them by FMR_Line_ID, and renders an expandable disclosure only when notes exist.</w:t>
      </w:r>
    </w:p>
    <w:p>
      <w:pPr>
        <w:pStyle w:val="ListBullet"/>
        <w:spacing w:after="40"/>
      </w:pPr>
      <w:r>
        <w:t>Field transaction types exposed as Field notes: Confirm Available, Bag &amp; Tag, Locate &amp; Issue, Issue Available, Issue From Bag.</w:t>
      </w:r>
    </w:p>
    <w:p>
      <w:pPr>
        <w:pStyle w:val="ListBullet"/>
        <w:spacing w:after="40"/>
      </w:pPr>
      <w:r>
        <w:t>Backorder-request Field_Notes are also displayed.</w:t>
      </w:r>
    </w:p>
    <w:p>
      <w:pPr>
        <w:pStyle w:val="ListBullet"/>
        <w:spacing w:after="40"/>
      </w:pPr>
      <w:r>
        <w:t>Admin decision notes and Owner correction notes are not mislabeled as Field notes.</w:t>
      </w:r>
    </w:p>
    <w:p>
      <w:pPr>
        <w:pStyle w:val="ListBullet"/>
        <w:spacing w:after="40"/>
      </w:pPr>
      <w:r>
        <w:t>Long notes use pre-wrap, word breaking, bounded height, and vertical scrolling to prevent layout overflow.</w:t>
      </w:r>
    </w:p>
    <w:p>
      <w:pPr>
        <w:pStyle w:val="Heading1"/>
      </w:pPr>
      <w:r>
        <w:t>13. Publication and Import Architecture</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Excel / Google Sheet source</w:t>
              <w:br/>
              <w:t xml:space="preserve">        |</w:t>
              <w:br/>
              <w:t xml:space="preserve">        v</w:t>
              <w:br/>
              <w:t>Bulk Import parser</w:t>
              <w:br/>
              <w:t xml:space="preserve">  - worksheet discovery</w:t>
              <w:br/>
              <w:t xml:space="preserve">  - FMR/header extraction</w:t>
              <w:br/>
              <w:t xml:space="preserve">  - line parsing</w:t>
              <w:br/>
              <w:t xml:space="preserve">  - size / quantity normalization</w:t>
              <w:br/>
              <w:t xml:space="preserve">  - warnings &amp; blocking errors</w:t>
              <w:br/>
              <w:t xml:space="preserve">        |</w:t>
              <w:br/>
              <w:t xml:space="preserve">        v</w:t>
              <w:br/>
              <w:t>Bulk_Import_* review records</w:t>
              <w:br/>
              <w:t xml:space="preserve">        |</w:t>
              <w:br/>
              <w:t xml:space="preserve">        v</w:t>
              <w:br/>
              <w:t>Import_Staging_Header / Lines</w:t>
              <w:br/>
              <w:t xml:space="preserve">        |</w:t>
              <w:br/>
              <w:t xml:space="preserve">        v</w:t>
              <w:br/>
              <w:t>Atomic publish</w:t>
              <w:br/>
              <w:t xml:space="preserve">  FMR_Header</w:t>
              <w:br/>
              <w:t xml:space="preserve">  FMR_Line_Items</w:t>
              <w:br/>
              <w:t xml:space="preserve">  Search_Index</w:t>
              <w:br/>
              <w:t xml:space="preserve">  Audit_Log</w:t>
              <w:br/>
            </w:r>
          </w:p>
        </w:tc>
      </w:tr>
    </w:tbl>
    <w:p>
      <w:r>
        <w:t>Historical migration reuses the same parser/staging/publisher pipeline and processes source workbooks in resumable server passes. The policy is REQUEST_ONLY: legacy Issued / Back Ordered / Action Taken cells remain source evidence and do not manufacture live Material_Transactions.</w:t>
      </w:r>
    </w:p>
    <w:p>
      <w:pPr>
        <w:pStyle w:val="Heading1"/>
      </w:pPr>
      <w:r>
        <w:t>14. Import Hardening History</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tcPr>
          <w:p>
            <w:r>
              <w:rPr>
                <w:b/>
                <w:color w:val="FFFFFF"/>
                <w:sz w:val="17"/>
              </w:rPr>
              <w:t>Release</w:t>
            </w:r>
          </w:p>
        </w:tc>
        <w:tc>
          <w:tcPr>
            <w:tcW w:type="dxa" w:w="4320"/>
            <w:shd w:fill="17365D"/>
            <w:tcMar>
              <w:top w:w="80" w:type="dxa"/>
              <w:start w:w="90" w:type="dxa"/>
              <w:bottom w:w="80" w:type="dxa"/>
              <w:end w:w="90" w:type="dxa"/>
            </w:tcMar>
          </w:tcPr>
          <w:p>
            <w:r>
              <w:rPr>
                <w:b/>
                <w:color w:val="FFFFFF"/>
                <w:sz w:val="17"/>
              </w:rPr>
              <w:t>Problem found</w:t>
            </w:r>
          </w:p>
        </w:tc>
        <w:tc>
          <w:tcPr>
            <w:tcW w:type="dxa" w:w="4896"/>
            <w:shd w:fill="17365D"/>
            <w:tcMar>
              <w:top w:w="80" w:type="dxa"/>
              <w:start w:w="90" w:type="dxa"/>
              <w:bottom w:w="80" w:type="dxa"/>
              <w:end w:w="90" w:type="dxa"/>
            </w:tcMar>
          </w:tcPr>
          <w:p>
            <w:r>
              <w:rPr>
                <w:b/>
                <w:color w:val="FFFFFF"/>
                <w:sz w:val="17"/>
              </w:rPr>
              <w:t>Resulting control</w:t>
            </w:r>
          </w:p>
        </w:tc>
      </w:tr>
      <w:tr>
        <w:tc>
          <w:tcPr>
            <w:tcW w:type="dxa" w:w="1728"/>
            <w:tcMar>
              <w:top w:w="80" w:type="dxa"/>
              <w:start w:w="90" w:type="dxa"/>
              <w:bottom w:w="80" w:type="dxa"/>
              <w:end w:w="90" w:type="dxa"/>
            </w:tcMar>
            <w:vAlign w:val="top"/>
          </w:tcPr>
          <w:p>
            <w:r>
              <w:rPr>
                <w:sz w:val="17"/>
              </w:rPr>
              <w:t>Alpha 30.3</w:t>
            </w:r>
          </w:p>
        </w:tc>
        <w:tc>
          <w:tcPr>
            <w:tcW w:type="dxa" w:w="4320"/>
            <w:tcMar>
              <w:top w:w="80" w:type="dxa"/>
              <w:start w:w="90" w:type="dxa"/>
              <w:bottom w:w="80" w:type="dxa"/>
              <w:end w:w="90" w:type="dxa"/>
            </w:tcMar>
            <w:vAlign w:val="top"/>
          </w:tcPr>
          <w:p>
            <w:r>
              <w:rPr>
                <w:sz w:val="17"/>
              </w:rPr>
              <w:t>Legacy LF quantities such as 40.2' were parsed as zero.</w:t>
            </w:r>
          </w:p>
        </w:tc>
        <w:tc>
          <w:tcPr>
            <w:tcW w:type="dxa" w:w="4896"/>
            <w:tcMar>
              <w:top w:w="80" w:type="dxa"/>
              <w:start w:w="90" w:type="dxa"/>
              <w:bottom w:w="80" w:type="dxa"/>
              <w:end w:w="90" w:type="dxa"/>
            </w:tcMar>
            <w:vAlign w:val="top"/>
          </w:tcPr>
          <w:p>
            <w:r>
              <w:rPr>
                <w:sz w:val="17"/>
              </w:rPr>
              <w:t>Strict LF normalization while blank quantities remain blocked; duplicate active migration guard; resume/abandon job controls.</w:t>
            </w:r>
          </w:p>
        </w:tc>
      </w:tr>
      <w:tr>
        <w:tc>
          <w:tcPr>
            <w:tcW w:type="dxa" w:w="1728"/>
            <w:tcMar>
              <w:top w:w="80" w:type="dxa"/>
              <w:start w:w="90" w:type="dxa"/>
              <w:bottom w:w="80" w:type="dxa"/>
              <w:end w:w="90" w:type="dxa"/>
            </w:tcMar>
            <w:vAlign w:val="top"/>
          </w:tcPr>
          <w:p>
            <w:r>
              <w:rPr>
                <w:sz w:val="17"/>
              </w:rPr>
              <w:t>Alpha 30.4</w:t>
            </w:r>
          </w:p>
        </w:tc>
        <w:tc>
          <w:tcPr>
            <w:tcW w:type="dxa" w:w="4320"/>
            <w:tcMar>
              <w:top w:w="80" w:type="dxa"/>
              <w:start w:w="90" w:type="dxa"/>
              <w:bottom w:w="80" w:type="dxa"/>
              <w:end w:w="90" w:type="dxa"/>
            </w:tcMar>
            <w:vAlign w:val="top"/>
          </w:tcPr>
          <w:p>
            <w:r>
              <w:rPr>
                <w:sz w:val="17"/>
              </w:rPr>
              <w:t>Excel fractions converted to dates were restored in reverse orientation (3/4 -&gt; 4/3).</w:t>
            </w:r>
          </w:p>
        </w:tc>
        <w:tc>
          <w:tcPr>
            <w:tcW w:type="dxa" w:w="4896"/>
            <w:tcMar>
              <w:top w:w="80" w:type="dxa"/>
              <w:start w:w="90" w:type="dxa"/>
              <w:bottom w:w="80" w:type="dxa"/>
              <w:end w:w="90" w:type="dxa"/>
            </w:tcMar>
            <w:vAlign w:val="top"/>
          </w:tcPr>
          <w:p>
            <w:r>
              <w:rPr>
                <w:sz w:val="17"/>
              </w:rPr>
              <w:t>Correct fraction/date reconstruction and database-wide reconciliation workflow.</w:t>
            </w:r>
          </w:p>
        </w:tc>
      </w:tr>
      <w:tr>
        <w:tc>
          <w:tcPr>
            <w:tcW w:type="dxa" w:w="1728"/>
            <w:tcMar>
              <w:top w:w="80" w:type="dxa"/>
              <w:start w:w="90" w:type="dxa"/>
              <w:bottom w:w="80" w:type="dxa"/>
              <w:end w:w="90" w:type="dxa"/>
            </w:tcMar>
            <w:vAlign w:val="top"/>
          </w:tcPr>
          <w:p>
            <w:r>
              <w:rPr>
                <w:sz w:val="17"/>
              </w:rPr>
              <w:t>Alpha 30.4.1</w:t>
            </w:r>
          </w:p>
        </w:tc>
        <w:tc>
          <w:tcPr>
            <w:tcW w:type="dxa" w:w="4320"/>
            <w:tcMar>
              <w:top w:w="80" w:type="dxa"/>
              <w:start w:w="90" w:type="dxa"/>
              <w:bottom w:w="80" w:type="dxa"/>
              <w:end w:w="90" w:type="dxa"/>
            </w:tcMar>
            <w:vAlign w:val="top"/>
          </w:tcPr>
          <w:p>
            <w:r>
              <w:rPr>
                <w:sz w:val="17"/>
              </w:rPr>
              <w:t>Shared Apps Script cache could leak TEST FMR index hits into PROD duplicate detection.</w:t>
            </w:r>
          </w:p>
        </w:tc>
        <w:tc>
          <w:tcPr>
            <w:tcW w:type="dxa" w:w="4896"/>
            <w:tcMar>
              <w:top w:w="80" w:type="dxa"/>
              <w:start w:w="90" w:type="dxa"/>
              <w:bottom w:w="80" w:type="dxa"/>
              <w:end w:w="90" w:type="dxa"/>
            </w:tcMar>
            <w:vAlign w:val="top"/>
          </w:tcPr>
          <w:p>
            <w:r>
              <w:rPr>
                <w:sz w:val="17"/>
              </w:rPr>
              <w:t>Database-fingerprint-scoped cache keys + authoritative FMR_Header duplicate verification.</w:t>
            </w:r>
          </w:p>
        </w:tc>
      </w:tr>
      <w:tr>
        <w:tc>
          <w:tcPr>
            <w:tcW w:type="dxa" w:w="1728"/>
            <w:tcMar>
              <w:top w:w="80" w:type="dxa"/>
              <w:start w:w="90" w:type="dxa"/>
              <w:bottom w:w="80" w:type="dxa"/>
              <w:end w:w="90" w:type="dxa"/>
            </w:tcMar>
            <w:vAlign w:val="top"/>
          </w:tcPr>
          <w:p>
            <w:r>
              <w:rPr>
                <w:sz w:val="17"/>
              </w:rPr>
              <w:t>Alpha 30.5</w:t>
            </w:r>
          </w:p>
        </w:tc>
        <w:tc>
          <w:tcPr>
            <w:tcW w:type="dxa" w:w="4320"/>
            <w:tcMar>
              <w:top w:w="80" w:type="dxa"/>
              <w:start w:w="90" w:type="dxa"/>
              <w:bottom w:w="80" w:type="dxa"/>
              <w:end w:w="90" w:type="dxa"/>
            </w:tcMar>
            <w:vAlign w:val="top"/>
          </w:tcPr>
          <w:p>
            <w:r>
              <w:rPr>
                <w:sz w:val="17"/>
              </w:rPr>
              <w:t>Admins could not see Field transaction notes; confirmed backorders were difficult to reference.</w:t>
            </w:r>
          </w:p>
        </w:tc>
        <w:tc>
          <w:tcPr>
            <w:tcW w:type="dxa" w:w="4896"/>
            <w:tcMar>
              <w:top w:w="80" w:type="dxa"/>
              <w:start w:w="90" w:type="dxa"/>
              <w:bottom w:w="80" w:type="dxa"/>
              <w:end w:w="90" w:type="dxa"/>
            </w:tcMar>
            <w:vAlign w:val="top"/>
          </w:tcPr>
          <w:p>
            <w:r>
              <w:rPr>
                <w:sz w:val="17"/>
              </w:rPr>
              <w:t>On-demand Admin Field notes + explicit confirmed-backorder filtering.</w:t>
            </w:r>
          </w:p>
        </w:tc>
      </w:tr>
      <w:tr>
        <w:tc>
          <w:tcPr>
            <w:tcW w:type="dxa" w:w="1728"/>
            <w:tcMar>
              <w:top w:w="80" w:type="dxa"/>
              <w:start w:w="90" w:type="dxa"/>
              <w:bottom w:w="80" w:type="dxa"/>
              <w:end w:w="90" w:type="dxa"/>
            </w:tcMar>
            <w:vAlign w:val="top"/>
          </w:tcPr>
          <w:p>
            <w:r>
              <w:rPr>
                <w:sz w:val="17"/>
              </w:rPr>
              <w:t>Alpha 30.5.1 layout</w:t>
            </w:r>
          </w:p>
        </w:tc>
        <w:tc>
          <w:tcPr>
            <w:tcW w:type="dxa" w:w="4320"/>
            <w:tcMar>
              <w:top w:w="80" w:type="dxa"/>
              <w:start w:w="90" w:type="dxa"/>
              <w:bottom w:w="80" w:type="dxa"/>
              <w:end w:w="90" w:type="dxa"/>
            </w:tcMar>
            <w:vAlign w:val="top"/>
          </w:tcPr>
          <w:p>
            <w:r>
              <w:rPr>
                <w:sz w:val="17"/>
              </w:rPr>
              <w:t>Third quick-filter button overflowed the Admin filter grid.</w:t>
            </w:r>
          </w:p>
        </w:tc>
        <w:tc>
          <w:tcPr>
            <w:tcW w:type="dxa" w:w="4896"/>
            <w:tcMar>
              <w:top w:w="80" w:type="dxa"/>
              <w:start w:w="90" w:type="dxa"/>
              <w:bottom w:w="80" w:type="dxa"/>
              <w:end w:w="90" w:type="dxa"/>
            </w:tcMar>
            <w:vAlign w:val="top"/>
          </w:tcPr>
          <w:p>
            <w:r>
              <w:rPr>
                <w:sz w:val="17"/>
              </w:rPr>
              <w:t>Bound CSS only: full-width action row and responsive layout.</w:t>
            </w:r>
          </w:p>
        </w:tc>
      </w:tr>
    </w:tbl>
    <w:p>
      <w:pPr>
        <w:pStyle w:val="Heading1"/>
      </w:pPr>
      <w:r>
        <w:t>15. Owner Maintenance and Production Safety</w:t>
      </w:r>
    </w:p>
    <w:p>
      <w:pPr>
        <w:pStyle w:val="ListBullet"/>
        <w:spacing w:after="40"/>
      </w:pPr>
      <w:r>
        <w:t>Owner transaction correction never deletes the original Material_Transactions row; a reversal creates an inverse transaction and correction/audit records.</w:t>
      </w:r>
    </w:p>
    <w:p>
      <w:pPr>
        <w:pStyle w:val="ListBullet"/>
        <w:spacing w:after="40"/>
      </w:pPr>
      <w:r>
        <w:t>Correction preview uses dependency checks and a verification code; application uses ScriptLock and creates a database backup before applying sensitive recovery/correction operations.</w:t>
      </w:r>
    </w:p>
    <w:p>
      <w:pPr>
        <w:pStyle w:val="ListBullet"/>
        <w:spacing w:after="40"/>
      </w:pPr>
      <w:r>
        <w:t>Historical migration jobs are resumable; duplicate active jobs against the same source folder are prevented; interrupted jobs can be explicitly abandoned.</w:t>
      </w:r>
    </w:p>
    <w:p>
      <w:pPr>
        <w:pStyle w:val="ListBullet"/>
        <w:spacing w:after="40"/>
      </w:pPr>
      <w:r>
        <w:t>Generated migration working folders are excluded from recursive source discovery.</w:t>
      </w:r>
    </w:p>
    <w:p>
      <w:pPr>
        <w:pStyle w:val="ListBullet"/>
        <w:spacing w:after="40"/>
      </w:pPr>
      <w:r>
        <w:t>Production Controls support ENABLED and READ_ONLY transaction modes.</w:t>
      </w:r>
    </w:p>
    <w:p>
      <w:pPr>
        <w:pStyle w:val="ListBullet"/>
        <w:spacing w:after="40"/>
      </w:pPr>
      <w:r>
        <w:t>Backup and Operational Readiness services exist, but recurring scheduled execution is not currently evidenced in Production history.</w:t>
      </w:r>
    </w:p>
    <w:p>
      <w:pPr>
        <w:pStyle w:val="Heading1"/>
      </w:pPr>
      <w:r>
        <w:t>16. Performance Design</w:t>
      </w:r>
    </w:p>
    <w:p>
      <w:r>
        <w:t>The system has been optimized for the present operating scale without redesigning the entire platform.</w:t>
      </w:r>
    </w:p>
    <w:p>
      <w:pPr>
        <w:pStyle w:val="ListBullet"/>
        <w:spacing w:after="40"/>
      </w:pPr>
      <w:r>
        <w:t>Search_Index provides exact FMR/ISO/line lookups instead of scanning all line rows.</w:t>
      </w:r>
    </w:p>
    <w:p>
      <w:pPr>
        <w:pStyle w:val="ListBullet"/>
        <w:spacing w:after="40"/>
      </w:pPr>
      <w:r>
        <w:t>Operational_Index supports Bag and backorder operational lookups.</w:t>
      </w:r>
    </w:p>
    <w:p>
      <w:pPr>
        <w:pStyle w:val="ListBullet"/>
        <w:spacing w:after="40"/>
      </w:pPr>
      <w:r>
        <w:t>ScriptCache is used for index results; cache keys are database scoped after Alpha 30.4.1.</w:t>
      </w:r>
    </w:p>
    <w:p>
      <w:pPr>
        <w:pStyle w:val="ListBullet"/>
        <w:spacing w:after="40"/>
      </w:pPr>
      <w:r>
        <w:t>Large multi-line FMR lookups use batched reads rather than N-per-line TextFinder calls.</w:t>
      </w:r>
    </w:p>
    <w:p>
      <w:pPr>
        <w:pStyle w:val="ListBullet"/>
        <w:spacing w:after="40"/>
      </w:pPr>
      <w:r>
        <w:t>Admin register loads header summaries first; material detail and Field notes are on demand.</w:t>
      </w:r>
    </w:p>
    <w:p>
      <w:pPr>
        <w:pStyle w:val="ListBullet"/>
        <w:spacing w:after="40"/>
      </w:pPr>
      <w:r>
        <w:t>Locks protect write workflows from overlapping Apps Script executions.</w:t>
      </w:r>
    </w:p>
    <w:p>
      <w:r>
        <w:t>At the current Production scale (805 FMRs, 5,593 material lines, 18 active users), the principal future limitation is not raw row count; it is the operational model of using Sheets as a transactional database and Apps Script as the execution environment.</w:t>
      </w:r>
    </w:p>
    <w:p>
      <w:pPr>
        <w:pStyle w:val="Heading1"/>
      </w:pPr>
      <w:r>
        <w:t>17. Backup, Health, and Recovery</w:t>
      </w:r>
    </w:p>
    <w:tbl>
      <w:tblPr>
        <w:tblStyle w:val="TableGrid"/>
        <w:tblW w:type="auto" w:w="0"/>
        <w:jc w:val="center"/>
        <w:tblLook w:firstColumn="1" w:firstRow="1" w:lastColumn="0" w:lastRow="0" w:noHBand="0" w:noVBand="1" w:val="04A0"/>
      </w:tblPr>
      <w:tblGrid>
        <w:gridCol w:w="5083"/>
        <w:gridCol w:w="5083"/>
      </w:tblGrid>
      <w:tr>
        <w:tc>
          <w:tcPr>
            <w:tcW w:type="dxa" w:w="3024"/>
            <w:shd w:fill="DCE6F1"/>
            <w:tcMar>
              <w:top w:w="80" w:type="dxa"/>
              <w:start w:w="90" w:type="dxa"/>
              <w:bottom w:w="80" w:type="dxa"/>
              <w:end w:w="90" w:type="dxa"/>
            </w:tcMar>
            <w:vAlign w:val="top"/>
          </w:tcPr>
          <w:p>
            <w:r>
              <w:rPr>
                <w:b/>
                <w:color w:val="17365D"/>
              </w:rPr>
              <w:t>Backup folder</w:t>
            </w:r>
          </w:p>
        </w:tc>
        <w:tc>
          <w:tcPr>
            <w:tcW w:type="dxa" w:w="6912"/>
            <w:tcMar>
              <w:top w:w="80" w:type="dxa"/>
              <w:start w:w="90" w:type="dxa"/>
              <w:bottom w:w="80" w:type="dxa"/>
              <w:end w:w="90" w:type="dxa"/>
            </w:tcMar>
            <w:vAlign w:val="top"/>
          </w:tcPr>
          <w:p>
            <w:r>
              <w:t>Dedicated Production Google Drive folder</w:t>
            </w:r>
          </w:p>
        </w:tc>
      </w:tr>
      <w:tr>
        <w:tc>
          <w:tcPr>
            <w:tcW w:type="dxa" w:w="3024"/>
            <w:shd w:fill="DCE6F1"/>
            <w:tcMar>
              <w:top w:w="80" w:type="dxa"/>
              <w:start w:w="90" w:type="dxa"/>
              <w:bottom w:w="80" w:type="dxa"/>
              <w:end w:w="90" w:type="dxa"/>
            </w:tcMar>
            <w:vAlign w:val="top"/>
          </w:tcPr>
          <w:p>
            <w:r>
              <w:rPr>
                <w:b/>
                <w:color w:val="17365D"/>
              </w:rPr>
              <w:t>Retention</w:t>
            </w:r>
          </w:p>
        </w:tc>
        <w:tc>
          <w:tcPr>
            <w:tcW w:type="dxa" w:w="6912"/>
            <w:tcMar>
              <w:top w:w="80" w:type="dxa"/>
              <w:start w:w="90" w:type="dxa"/>
              <w:bottom w:w="80" w:type="dxa"/>
              <w:end w:w="90" w:type="dxa"/>
            </w:tcMar>
            <w:vAlign w:val="top"/>
          </w:tcPr>
          <w:p>
            <w:r>
              <w:t>30 days</w:t>
            </w:r>
          </w:p>
        </w:tc>
      </w:tr>
      <w:tr>
        <w:tc>
          <w:tcPr>
            <w:tcW w:type="dxa" w:w="3024"/>
            <w:shd w:fill="DCE6F1"/>
            <w:tcMar>
              <w:top w:w="80" w:type="dxa"/>
              <w:start w:w="90" w:type="dxa"/>
              <w:bottom w:w="80" w:type="dxa"/>
              <w:end w:w="90" w:type="dxa"/>
            </w:tcMar>
            <w:vAlign w:val="top"/>
          </w:tcPr>
          <w:p>
            <w:r>
              <w:rPr>
                <w:b/>
                <w:color w:val="17365D"/>
              </w:rPr>
              <w:t>Max acceptable backup age</w:t>
            </w:r>
          </w:p>
        </w:tc>
        <w:tc>
          <w:tcPr>
            <w:tcW w:type="dxa" w:w="6912"/>
            <w:tcMar>
              <w:top w:w="80" w:type="dxa"/>
              <w:start w:w="90" w:type="dxa"/>
              <w:bottom w:w="80" w:type="dxa"/>
              <w:end w:w="90" w:type="dxa"/>
            </w:tcMar>
            <w:vAlign w:val="top"/>
          </w:tcPr>
          <w:p>
            <w:r>
              <w:t>30 hours</w:t>
            </w:r>
          </w:p>
        </w:tc>
      </w:tr>
      <w:tr>
        <w:tc>
          <w:tcPr>
            <w:tcW w:type="dxa" w:w="3024"/>
            <w:shd w:fill="DCE6F1"/>
            <w:tcMar>
              <w:top w:w="80" w:type="dxa"/>
              <w:start w:w="90" w:type="dxa"/>
              <w:bottom w:w="80" w:type="dxa"/>
              <w:end w:w="90" w:type="dxa"/>
            </w:tcMar>
            <w:vAlign w:val="top"/>
          </w:tcPr>
          <w:p>
            <w:r>
              <w:rPr>
                <w:b/>
                <w:color w:val="17365D"/>
              </w:rPr>
              <w:t>Latest observed backup</w:t>
            </w:r>
          </w:p>
        </w:tc>
        <w:tc>
          <w:tcPr>
            <w:tcW w:type="dxa" w:w="6912"/>
            <w:tcMar>
              <w:top w:w="80" w:type="dxa"/>
              <w:start w:w="90" w:type="dxa"/>
              <w:bottom w:w="80" w:type="dxa"/>
              <w:end w:w="90" w:type="dxa"/>
            </w:tcMar>
            <w:vAlign w:val="top"/>
          </w:tcPr>
          <w:p>
            <w:r>
              <w:t>2026-08-25 19:44, MANUAL, SUCCESS</w:t>
            </w:r>
          </w:p>
        </w:tc>
      </w:tr>
      <w:tr>
        <w:tc>
          <w:tcPr>
            <w:tcW w:type="dxa" w:w="3024"/>
            <w:shd w:fill="DCE6F1"/>
            <w:tcMar>
              <w:top w:w="80" w:type="dxa"/>
              <w:start w:w="90" w:type="dxa"/>
              <w:bottom w:w="80" w:type="dxa"/>
              <w:end w:w="90" w:type="dxa"/>
            </w:tcMar>
            <w:vAlign w:val="top"/>
          </w:tcPr>
          <w:p>
            <w:r>
              <w:rPr>
                <w:b/>
                <w:color w:val="17365D"/>
              </w:rPr>
              <w:t>Successful backups recorded</w:t>
            </w:r>
          </w:p>
        </w:tc>
        <w:tc>
          <w:tcPr>
            <w:tcW w:type="dxa" w:w="6912"/>
            <w:tcMar>
              <w:top w:w="80" w:type="dxa"/>
              <w:start w:w="90" w:type="dxa"/>
              <w:bottom w:w="80" w:type="dxa"/>
              <w:end w:w="90" w:type="dxa"/>
            </w:tcMar>
            <w:vAlign w:val="top"/>
          </w:tcPr>
          <w:p>
            <w:r>
              <w:t>11</w:t>
            </w:r>
          </w:p>
        </w:tc>
      </w:tr>
      <w:tr>
        <w:tc>
          <w:tcPr>
            <w:tcW w:type="dxa" w:w="3024"/>
            <w:shd w:fill="DCE6F1"/>
            <w:tcMar>
              <w:top w:w="80" w:type="dxa"/>
              <w:start w:w="90" w:type="dxa"/>
              <w:bottom w:w="80" w:type="dxa"/>
              <w:end w:w="90" w:type="dxa"/>
            </w:tcMar>
            <w:vAlign w:val="top"/>
          </w:tcPr>
          <w:p>
            <w:r>
              <w:rPr>
                <w:b/>
                <w:color w:val="17365D"/>
              </w:rPr>
              <w:t>Scheduled backup records</w:t>
            </w:r>
          </w:p>
        </w:tc>
        <w:tc>
          <w:tcPr>
            <w:tcW w:type="dxa" w:w="6912"/>
            <w:tcMar>
              <w:top w:w="80" w:type="dxa"/>
              <w:start w:w="90" w:type="dxa"/>
              <w:bottom w:w="80" w:type="dxa"/>
              <w:end w:w="90" w:type="dxa"/>
            </w:tcMar>
            <w:vAlign w:val="top"/>
          </w:tcPr>
          <w:p>
            <w:r>
              <w:t>0 observed</w:t>
            </w:r>
          </w:p>
        </w:tc>
      </w:tr>
      <w:tr>
        <w:tc>
          <w:tcPr>
            <w:tcW w:type="dxa" w:w="3024"/>
            <w:shd w:fill="DCE6F1"/>
            <w:tcMar>
              <w:top w:w="80" w:type="dxa"/>
              <w:start w:w="90" w:type="dxa"/>
              <w:bottom w:w="80" w:type="dxa"/>
              <w:end w:w="90" w:type="dxa"/>
            </w:tcMar>
            <w:vAlign w:val="top"/>
          </w:tcPr>
          <w:p>
            <w:r>
              <w:rPr>
                <w:b/>
                <w:color w:val="17365D"/>
              </w:rPr>
              <w:t>Operational health log</w:t>
            </w:r>
          </w:p>
        </w:tc>
        <w:tc>
          <w:tcPr>
            <w:tcW w:type="dxa" w:w="6912"/>
            <w:tcMar>
              <w:top w:w="80" w:type="dxa"/>
              <w:start w:w="90" w:type="dxa"/>
              <w:bottom w:w="80" w:type="dxa"/>
              <w:end w:w="90" w:type="dxa"/>
            </w:tcMar>
            <w:vAlign w:val="top"/>
          </w:tcPr>
          <w:p>
            <w:r>
              <w:t>Only initial commissioning run observed</w:t>
            </w:r>
          </w:p>
        </w:tc>
      </w:tr>
    </w:tbl>
    <w:p>
      <w:r>
        <w:t>Daily backup/health automation exists in the codebase, but Production history does not currently show scheduled executions. An AI agent should not assume monitoring is active merely because the feature exists.</w:t>
      </w:r>
    </w:p>
    <w:p>
      <w:pPr>
        <w:pStyle w:val="Heading1"/>
      </w:pPr>
      <w:r>
        <w:t>18. Known Non-Blocking Technical Debt</w:t>
      </w:r>
    </w:p>
    <w:p>
      <w:pPr>
        <w:pStyle w:val="ListBullet"/>
        <w:spacing w:after="40"/>
      </w:pPr>
      <w:r>
        <w:t>Configuration.APP_VERSION is stale (3.0.0-alpha.30.4) relative to runtime 3.0.0-alpha.30.5.</w:t>
      </w:r>
    </w:p>
    <w:p>
      <w:pPr>
        <w:pStyle w:val="ListBullet"/>
        <w:spacing w:after="40"/>
      </w:pPr>
      <w:r>
        <w:t>A stale maintenance message remains populated while transaction mode is ENABLED.</w:t>
      </w:r>
    </w:p>
    <w:p>
      <w:pPr>
        <w:pStyle w:val="ListBullet"/>
        <w:spacing w:after="40"/>
      </w:pPr>
      <w:r>
        <w:t>Recurring scheduled backups and health runs are not evidenced in the database.</w:t>
      </w:r>
    </w:p>
    <w:p>
      <w:pPr>
        <w:pStyle w:val="ListBullet"/>
        <w:spacing w:after="40"/>
      </w:pPr>
      <w:r>
        <w:t>Deployments are manually synchronized between GitHub and Apps Script rather than fully automated CI/CD.</w:t>
      </w:r>
    </w:p>
    <w:p>
      <w:pPr>
        <w:pStyle w:val="ListBullet"/>
        <w:spacing w:after="40"/>
      </w:pPr>
      <w:r>
        <w:t>Apps Script USER_ACCESSING means application users also depend on underlying Google Workspace permissions.</w:t>
      </w:r>
    </w:p>
    <w:p>
      <w:pPr>
        <w:pStyle w:val="ListBullet"/>
        <w:spacing w:after="40"/>
      </w:pPr>
      <w:r>
        <w:t>Sheets lacks native foreign keys, database transactions, row-level locking, SQL constraints, and robust query planning.</w:t>
      </w:r>
    </w:p>
    <w:p>
      <w:pPr>
        <w:pStyle w:val="ListBullet"/>
        <w:spacing w:after="40"/>
      </w:pPr>
      <w:r>
        <w:t>Historical backlog may remain incomplete by design; a missing historical FMR is not automatically a production defect.</w:t>
      </w:r>
    </w:p>
    <w:p>
      <w:pPr>
        <w:pStyle w:val="Heading1"/>
      </w:pPr>
      <w:r>
        <w:t>19. Safe-Change Rules for an AI Engineering Agent</w:t>
      </w:r>
    </w:p>
    <w:tbl>
      <w:tblPr>
        <w:tblW w:type="auto" w:w="0"/>
        <w:jc w:val="center"/>
        <w:tblLayout w:type="autofit"/>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b/>
                <w:color w:val="17365D"/>
              </w:rPr>
              <w:t>Default rule</w:t>
            </w:r>
          </w:p>
          <w:p>
            <w:pPr>
              <w:spacing w:after="0"/>
            </w:pPr>
            <w:r>
              <w:t>Treat the current Production deployment as a live operational system. Prefer narrow changes, deploy TEST first, keep immutable history, and never modify quantities or ledger records directly to make a UI symptom disappear.</w:t>
            </w:r>
          </w:p>
        </w:tc>
      </w:tr>
    </w:tbl>
    <w:p>
      <w:pPr>
        <w:pStyle w:val="ListNumber"/>
        <w:spacing w:after="40"/>
      </w:pPr>
      <w:r>
        <w:t>Verify the latest GitHub commit and deployed Core version before proposing code.</w:t>
      </w:r>
    </w:p>
    <w:p>
      <w:pPr>
        <w:pStyle w:val="ListNumber"/>
        <w:spacing w:after="40"/>
      </w:pPr>
      <w:r>
        <w:t>Inspect the Production spreadsheet only to understand state; do not mutate Production directly outside an approved application workflow.</w:t>
      </w:r>
    </w:p>
    <w:p>
      <w:pPr>
        <w:pStyle w:val="ListNumber"/>
        <w:spacing w:after="40"/>
      </w:pPr>
      <w:r>
        <w:t>For any Core change: set Production READ_ONLY, create a fresh backup, publish a new immutable Core version, deploy TEST, validate, then update PROD.</w:t>
      </w:r>
    </w:p>
    <w:p>
      <w:pPr>
        <w:pStyle w:val="ListNumber"/>
        <w:spacing w:after="40"/>
      </w:pPr>
      <w:r>
        <w:t>For a Bound-only CSS/UI change: still validate in /dev or TEST before updating the versioned /exec deployment.</w:t>
      </w:r>
    </w:p>
    <w:p>
      <w:pPr>
        <w:pStyle w:val="ListNumber"/>
        <w:spacing w:after="40"/>
      </w:pPr>
      <w:r>
        <w:t>Do not delete Material_Transactions, Audit_Log, correction records, import history, or blocked migration evidence.</w:t>
      </w:r>
    </w:p>
    <w:p>
      <w:pPr>
        <w:pStyle w:val="ListNumber"/>
        <w:spacing w:after="40"/>
      </w:pPr>
      <w:r>
        <w:t>Do not weaken validation for missing FMR numbers, blank quantities, duplicates, or other source-data defects.</w:t>
      </w:r>
    </w:p>
    <w:p>
      <w:pPr>
        <w:pStyle w:val="ListNumber"/>
        <w:spacing w:after="40"/>
      </w:pPr>
      <w:r>
        <w:t>Preserve REQUEST_ONLY historical migration unless leadership explicitly approves a new legacy-state reconstruction policy.</w:t>
      </w:r>
    </w:p>
    <w:p>
      <w:pPr>
        <w:pStyle w:val="ListNumber"/>
        <w:spacing w:after="40"/>
      </w:pPr>
      <w:r>
        <w:t>Preserve database-scoped cache keys. TEST/PROD cache isolation is a production-critical invariant.</w:t>
      </w:r>
    </w:p>
    <w:p>
      <w:pPr>
        <w:pStyle w:val="ListNumber"/>
        <w:spacing w:after="40"/>
      </w:pPr>
      <w:r>
        <w:t>Prefer exact/batched/indexed reads over full-sheet scans in interactive paths.</w:t>
      </w:r>
    </w:p>
    <w:p>
      <w:pPr>
        <w:pStyle w:val="ListNumber"/>
        <w:spacing w:after="40"/>
      </w:pPr>
      <w:r>
        <w:t>When adding new presentation data, read from the authoritative source rather than copying it into unrelated current-state tables.</w:t>
      </w:r>
    </w:p>
    <w:p>
      <w:pPr>
        <w:pStyle w:val="Heading1"/>
      </w:pPr>
      <w:r>
        <w:t>20. Recommended Verification Checklist Before Any Release</w:t>
      </w:r>
    </w:p>
    <w:p>
      <w:pPr>
        <w:pStyle w:val="ListBullet"/>
        <w:spacing w:after="40"/>
      </w:pPr>
      <w:r>
        <w:t>GitHub commit identified and source files reviewed.</w:t>
      </w:r>
    </w:p>
    <w:p>
      <w:pPr>
        <w:pStyle w:val="ListBullet"/>
        <w:spacing w:after="40"/>
      </w:pPr>
      <w:r>
        <w:t>Core runtime version and Bound library version recorded.</w:t>
      </w:r>
    </w:p>
    <w:p>
      <w:pPr>
        <w:pStyle w:val="ListBullet"/>
        <w:spacing w:after="40"/>
      </w:pPr>
      <w:r>
        <w:t>Production set READ_ONLY for Core/data-affecting changes.</w:t>
      </w:r>
    </w:p>
    <w:p>
      <w:pPr>
        <w:pStyle w:val="ListBullet"/>
        <w:spacing w:after="40"/>
      </w:pPr>
      <w:r>
        <w:t>Fresh Production backup SUCCESS.</w:t>
      </w:r>
    </w:p>
    <w:p>
      <w:pPr>
        <w:pStyle w:val="ListBullet"/>
        <w:spacing w:after="40"/>
      </w:pPr>
      <w:r>
        <w:t>TEST smoke test: Field search, issue, Bag &amp; Tag, backorder request, admin approval, admin register, owner view.</w:t>
      </w:r>
    </w:p>
    <w:p>
      <w:pPr>
        <w:pStyle w:val="ListBullet"/>
        <w:spacing w:after="40"/>
      </w:pPr>
      <w:r>
        <w:t>Schema / integrity / production-control diagnostics PASS.</w:t>
      </w:r>
    </w:p>
    <w:p>
      <w:pPr>
        <w:pStyle w:val="ListBullet"/>
        <w:spacing w:after="40"/>
      </w:pPr>
      <w:r>
        <w:t>Existing production FMR and transaction data unchanged unless the change explicitly required data migration.</w:t>
      </w:r>
    </w:p>
    <w:p>
      <w:pPr>
        <w:pStyle w:val="ListBullet"/>
        <w:spacing w:after="40"/>
      </w:pPr>
      <w:r>
        <w:t>Versioned /exec deployment updated only after TEST passes.</w:t>
      </w:r>
    </w:p>
    <w:p>
      <w:pPr>
        <w:pStyle w:val="ListBullet"/>
        <w:spacing w:after="40"/>
      </w:pPr>
      <w:r>
        <w:t>GitHub appsscript.json updated to the immutable library version actually deployed.</w:t>
      </w:r>
    </w:p>
    <w:p>
      <w:pPr>
        <w:pStyle w:val="Heading1"/>
      </w:pPr>
      <w:r>
        <w:t>21. Glossary</w:t>
      </w:r>
    </w:p>
    <w:tbl>
      <w:tblPr>
        <w:tblStyle w:val="TableGrid"/>
        <w:tblW w:type="auto" w:w="0"/>
        <w:jc w:val="center"/>
        <w:tblLook w:firstColumn="1" w:firstRow="1" w:lastColumn="0" w:lastRow="0" w:noHBand="0" w:noVBand="1" w:val="04A0"/>
      </w:tblPr>
      <w:tblGrid>
        <w:gridCol w:w="5083"/>
        <w:gridCol w:w="5083"/>
      </w:tblGrid>
      <w:tr>
        <w:tc>
          <w:tcPr>
            <w:tcW w:type="dxa" w:w="2160"/>
            <w:shd w:fill="17365D"/>
            <w:tcMar>
              <w:top w:w="80" w:type="dxa"/>
              <w:start w:w="90" w:type="dxa"/>
              <w:bottom w:w="80" w:type="dxa"/>
              <w:end w:w="90" w:type="dxa"/>
            </w:tcMar>
          </w:tcPr>
          <w:p>
            <w:r>
              <w:rPr>
                <w:b/>
                <w:color w:val="FFFFFF"/>
                <w:sz w:val="17"/>
              </w:rPr>
              <w:t>Term</w:t>
            </w:r>
          </w:p>
        </w:tc>
        <w:tc>
          <w:tcPr>
            <w:tcW w:type="dxa" w:w="8064"/>
            <w:shd w:fill="17365D"/>
            <w:tcMar>
              <w:top w:w="80" w:type="dxa"/>
              <w:start w:w="90" w:type="dxa"/>
              <w:bottom w:w="80" w:type="dxa"/>
              <w:end w:w="90" w:type="dxa"/>
            </w:tcMar>
          </w:tcPr>
          <w:p>
            <w:r>
              <w:rPr>
                <w:b/>
                <w:color w:val="FFFFFF"/>
                <w:sz w:val="17"/>
              </w:rPr>
              <w:t>Meaning</w:t>
            </w:r>
          </w:p>
        </w:tc>
      </w:tr>
      <w:tr>
        <w:tc>
          <w:tcPr>
            <w:tcW w:type="dxa" w:w="2160"/>
            <w:tcMar>
              <w:top w:w="80" w:type="dxa"/>
              <w:start w:w="90" w:type="dxa"/>
              <w:bottom w:w="80" w:type="dxa"/>
              <w:end w:w="90" w:type="dxa"/>
            </w:tcMar>
            <w:vAlign w:val="top"/>
          </w:tcPr>
          <w:p>
            <w:r>
              <w:rPr>
                <w:sz w:val="17"/>
              </w:rPr>
              <w:t>FMR</w:t>
            </w:r>
          </w:p>
        </w:tc>
        <w:tc>
          <w:tcPr>
            <w:tcW w:type="dxa" w:w="8064"/>
            <w:tcMar>
              <w:top w:w="80" w:type="dxa"/>
              <w:start w:w="90" w:type="dxa"/>
              <w:bottom w:w="80" w:type="dxa"/>
              <w:end w:w="90" w:type="dxa"/>
            </w:tcMar>
            <w:vAlign w:val="top"/>
          </w:tcPr>
          <w:p>
            <w:r>
              <w:rPr>
                <w:sz w:val="17"/>
              </w:rPr>
              <w:t>Field Material Request.</w:t>
            </w:r>
          </w:p>
        </w:tc>
      </w:tr>
      <w:tr>
        <w:tc>
          <w:tcPr>
            <w:tcW w:type="dxa" w:w="2160"/>
            <w:tcMar>
              <w:top w:w="80" w:type="dxa"/>
              <w:start w:w="90" w:type="dxa"/>
              <w:bottom w:w="80" w:type="dxa"/>
              <w:end w:w="90" w:type="dxa"/>
            </w:tcMar>
            <w:vAlign w:val="top"/>
          </w:tcPr>
          <w:p>
            <w:r>
              <w:rPr>
                <w:sz w:val="17"/>
              </w:rPr>
              <w:t>IWP</w:t>
            </w:r>
          </w:p>
        </w:tc>
        <w:tc>
          <w:tcPr>
            <w:tcW w:type="dxa" w:w="8064"/>
            <w:tcMar>
              <w:top w:w="80" w:type="dxa"/>
              <w:start w:w="90" w:type="dxa"/>
              <w:bottom w:w="80" w:type="dxa"/>
              <w:end w:w="90" w:type="dxa"/>
            </w:tcMar>
            <w:vAlign w:val="top"/>
          </w:tcPr>
          <w:p>
            <w:r>
              <w:rPr>
                <w:sz w:val="17"/>
              </w:rPr>
              <w:t>Installation Work Package identifier tied to one or more FMR/ISO records.</w:t>
            </w:r>
          </w:p>
        </w:tc>
      </w:tr>
      <w:tr>
        <w:tc>
          <w:tcPr>
            <w:tcW w:type="dxa" w:w="2160"/>
            <w:tcMar>
              <w:top w:w="80" w:type="dxa"/>
              <w:start w:w="90" w:type="dxa"/>
              <w:bottom w:w="80" w:type="dxa"/>
              <w:end w:w="90" w:type="dxa"/>
            </w:tcMar>
            <w:vAlign w:val="top"/>
          </w:tcPr>
          <w:p>
            <w:r>
              <w:rPr>
                <w:sz w:val="17"/>
              </w:rPr>
              <w:t>ISO / ISO Key</w:t>
            </w:r>
          </w:p>
        </w:tc>
        <w:tc>
          <w:tcPr>
            <w:tcW w:type="dxa" w:w="8064"/>
            <w:tcMar>
              <w:top w:w="80" w:type="dxa"/>
              <w:start w:w="90" w:type="dxa"/>
              <w:bottom w:w="80" w:type="dxa"/>
              <w:end w:w="90" w:type="dxa"/>
            </w:tcMar>
            <w:vAlign w:val="top"/>
          </w:tcPr>
          <w:p>
            <w:r>
              <w:rPr>
                <w:sz w:val="17"/>
              </w:rPr>
              <w:t>Isometric line drawing reference; application combines ISO number and sheet for exact lookup.</w:t>
            </w:r>
          </w:p>
        </w:tc>
      </w:tr>
      <w:tr>
        <w:tc>
          <w:tcPr>
            <w:tcW w:type="dxa" w:w="2160"/>
            <w:tcMar>
              <w:top w:w="80" w:type="dxa"/>
              <w:start w:w="90" w:type="dxa"/>
              <w:bottom w:w="80" w:type="dxa"/>
              <w:end w:w="90" w:type="dxa"/>
            </w:tcMar>
            <w:vAlign w:val="top"/>
          </w:tcPr>
          <w:p>
            <w:r>
              <w:rPr>
                <w:sz w:val="17"/>
              </w:rPr>
              <w:t>Bag &amp; Tag</w:t>
            </w:r>
          </w:p>
        </w:tc>
        <w:tc>
          <w:tcPr>
            <w:tcW w:type="dxa" w:w="8064"/>
            <w:tcMar>
              <w:top w:w="80" w:type="dxa"/>
              <w:start w:w="90" w:type="dxa"/>
              <w:bottom w:w="80" w:type="dxa"/>
              <w:end w:w="90" w:type="dxa"/>
            </w:tcMar>
            <w:vAlign w:val="top"/>
          </w:tcPr>
          <w:p>
            <w:r>
              <w:rPr>
                <w:sz w:val="17"/>
              </w:rPr>
              <w:t>Reservation of located material under a tracked bag/tag container before issue.</w:t>
            </w:r>
          </w:p>
        </w:tc>
      </w:tr>
      <w:tr>
        <w:tc>
          <w:tcPr>
            <w:tcW w:type="dxa" w:w="2160"/>
            <w:tcMar>
              <w:top w:w="80" w:type="dxa"/>
              <w:start w:w="90" w:type="dxa"/>
              <w:bottom w:w="80" w:type="dxa"/>
              <w:end w:w="90" w:type="dxa"/>
            </w:tcMar>
            <w:vAlign w:val="top"/>
          </w:tcPr>
          <w:p>
            <w:r>
              <w:rPr>
                <w:sz w:val="17"/>
              </w:rPr>
              <w:t>Backorder</w:t>
            </w:r>
          </w:p>
        </w:tc>
        <w:tc>
          <w:tcPr>
            <w:tcW w:type="dxa" w:w="8064"/>
            <w:tcMar>
              <w:top w:w="80" w:type="dxa"/>
              <w:start w:w="90" w:type="dxa"/>
              <w:bottom w:w="80" w:type="dxa"/>
              <w:end w:w="90" w:type="dxa"/>
            </w:tcMar>
            <w:vAlign w:val="top"/>
          </w:tcPr>
          <w:p>
            <w:r>
              <w:rPr>
                <w:sz w:val="17"/>
              </w:rPr>
              <w:t>Unmet material requirement reported by Field and reviewed by Material Admin/planning.</w:t>
            </w:r>
          </w:p>
        </w:tc>
      </w:tr>
      <w:tr>
        <w:tc>
          <w:tcPr>
            <w:tcW w:type="dxa" w:w="2160"/>
            <w:tcMar>
              <w:top w:w="80" w:type="dxa"/>
              <w:start w:w="90" w:type="dxa"/>
              <w:bottom w:w="80" w:type="dxa"/>
              <w:end w:w="90" w:type="dxa"/>
            </w:tcMar>
            <w:vAlign w:val="top"/>
          </w:tcPr>
          <w:p>
            <w:r>
              <w:rPr>
                <w:sz w:val="17"/>
              </w:rPr>
              <w:t>Bound</w:t>
            </w:r>
          </w:p>
        </w:tc>
        <w:tc>
          <w:tcPr>
            <w:tcW w:type="dxa" w:w="8064"/>
            <w:tcMar>
              <w:top w:w="80" w:type="dxa"/>
              <w:start w:w="90" w:type="dxa"/>
              <w:bottom w:w="80" w:type="dxa"/>
              <w:end w:w="90" w:type="dxa"/>
            </w:tcMar>
            <w:vAlign w:val="top"/>
          </w:tcPr>
          <w:p>
            <w:r>
              <w:rPr>
                <w:sz w:val="17"/>
              </w:rPr>
              <w:t>Apps Script web application project containing UI and adapter functions.</w:t>
            </w:r>
          </w:p>
        </w:tc>
      </w:tr>
      <w:tr>
        <w:tc>
          <w:tcPr>
            <w:tcW w:type="dxa" w:w="2160"/>
            <w:tcMar>
              <w:top w:w="80" w:type="dxa"/>
              <w:start w:w="90" w:type="dxa"/>
              <w:bottom w:w="80" w:type="dxa"/>
              <w:end w:w="90" w:type="dxa"/>
            </w:tcMar>
            <w:vAlign w:val="top"/>
          </w:tcPr>
          <w:p>
            <w:r>
              <w:rPr>
                <w:sz w:val="17"/>
              </w:rPr>
              <w:t>FMRCoreV3</w:t>
            </w:r>
          </w:p>
        </w:tc>
        <w:tc>
          <w:tcPr>
            <w:tcW w:type="dxa" w:w="8064"/>
            <w:tcMar>
              <w:top w:w="80" w:type="dxa"/>
              <w:start w:w="90" w:type="dxa"/>
              <w:bottom w:w="80" w:type="dxa"/>
              <w:end w:w="90" w:type="dxa"/>
            </w:tcMar>
            <w:vAlign w:val="top"/>
          </w:tcPr>
          <w:p>
            <w:r>
              <w:rPr>
                <w:sz w:val="17"/>
              </w:rPr>
              <w:t>Versioned Apps Script library containing domain/business logic.</w:t>
            </w:r>
          </w:p>
        </w:tc>
      </w:tr>
      <w:tr>
        <w:tc>
          <w:tcPr>
            <w:tcW w:type="dxa" w:w="2160"/>
            <w:tcMar>
              <w:top w:w="80" w:type="dxa"/>
              <w:start w:w="90" w:type="dxa"/>
              <w:bottom w:w="80" w:type="dxa"/>
              <w:end w:w="90" w:type="dxa"/>
            </w:tcMar>
            <w:vAlign w:val="top"/>
          </w:tcPr>
          <w:p>
            <w:r>
              <w:rPr>
                <w:sz w:val="17"/>
              </w:rPr>
              <w:t>REQUEST_ONLY</w:t>
            </w:r>
          </w:p>
        </w:tc>
        <w:tc>
          <w:tcPr>
            <w:tcW w:type="dxa" w:w="8064"/>
            <w:tcMar>
              <w:top w:w="80" w:type="dxa"/>
              <w:start w:w="90" w:type="dxa"/>
              <w:bottom w:w="80" w:type="dxa"/>
              <w:end w:w="90" w:type="dxa"/>
            </w:tcMar>
            <w:vAlign w:val="top"/>
          </w:tcPr>
          <w:p>
            <w:r>
              <w:rPr>
                <w:sz w:val="17"/>
              </w:rPr>
              <w:t>Historical migration policy that imports requested material but does not synthesize legacy operational transactions.</w:t>
            </w:r>
          </w:p>
        </w:tc>
      </w:tr>
      <w:tr>
        <w:tc>
          <w:tcPr>
            <w:tcW w:type="dxa" w:w="2160"/>
            <w:tcMar>
              <w:top w:w="80" w:type="dxa"/>
              <w:start w:w="90" w:type="dxa"/>
              <w:bottom w:w="80" w:type="dxa"/>
              <w:end w:w="90" w:type="dxa"/>
            </w:tcMar>
            <w:vAlign w:val="top"/>
          </w:tcPr>
          <w:p>
            <w:r>
              <w:rPr>
                <w:sz w:val="17"/>
              </w:rPr>
              <w:t>Correlation ID</w:t>
            </w:r>
          </w:p>
        </w:tc>
        <w:tc>
          <w:tcPr>
            <w:tcW w:type="dxa" w:w="8064"/>
            <w:tcMar>
              <w:top w:w="80" w:type="dxa"/>
              <w:start w:w="90" w:type="dxa"/>
              <w:bottom w:w="80" w:type="dxa"/>
              <w:end w:w="90" w:type="dxa"/>
            </w:tcMar>
            <w:vAlign w:val="top"/>
          </w:tcPr>
          <w:p>
            <w:r>
              <w:rPr>
                <w:sz w:val="17"/>
              </w:rPr>
              <w:t>Identifier tying related transactions/audit activity into one logical operation.</w:t>
            </w:r>
          </w:p>
        </w:tc>
      </w:tr>
    </w:tbl>
    <w:p>
      <w:pPr>
        <w:pStyle w:val="Heading1"/>
      </w:pPr>
      <w:r>
        <w:t>22. Source References Used for This Handoff</w:t>
      </w:r>
    </w:p>
    <w:p>
      <w:pPr>
        <w:pStyle w:val="ListBullet"/>
        <w:spacing w:after="40"/>
      </w:pPr>
      <w:r>
        <w:t>GitHub repository: https://github.com/jonaDaniM/FMRv3</w:t>
      </w:r>
    </w:p>
    <w:p>
      <w:pPr>
        <w:pStyle w:val="ListBullet"/>
        <w:spacing w:after="40"/>
      </w:pPr>
      <w:r>
        <w:t>Reviewed Git commit: 771412f8f0f04f4f70d1ffd5e3460ffbec67b5e8</w:t>
      </w:r>
    </w:p>
    <w:p>
      <w:pPr>
        <w:pStyle w:val="ListBullet"/>
        <w:spacing w:after="40"/>
      </w:pPr>
      <w:r>
        <w:t>FMRCoreV3/Config.gs — runtime version, sheet contracts, action constants.</w:t>
      </w:r>
    </w:p>
    <w:p>
      <w:pPr>
        <w:pStyle w:val="ListBullet"/>
        <w:spacing w:after="40"/>
      </w:pPr>
      <w:r>
        <w:t>Bound/appsscript.json — immutable Core v37, USER_ACCESSING web app model, OAuth scopes.</w:t>
      </w:r>
    </w:p>
    <w:p>
      <w:pPr>
        <w:pStyle w:val="ListBullet"/>
        <w:spacing w:after="40"/>
      </w:pPr>
      <w:r>
        <w:t>Production spreadsheet: FMR Operations Database v3 - PRODUCTION — live table counts, configuration, user roster, backups, and current state.</w:t>
      </w:r>
    </w:p>
    <w:p>
      <w:pPr>
        <w:pStyle w:val="ListBullet"/>
        <w:spacing w:after="40"/>
      </w:pPr>
      <w:r>
        <w:t>Prior release qualification artifacts and production hardening history summarized in project workstream.</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FMR Operations v3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