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FMR Operations v3 — Scalability, Reuse &amp; Cloud Transition Plan</w:t>
      </w:r>
    </w:p>
    <w:p>
      <w:pPr>
        <w:jc w:val="center"/>
      </w:pPr>
      <w:r>
        <w:rPr>
          <w:color w:val="666666"/>
          <w:sz w:val="24"/>
        </w:rPr>
        <w:t>A phased path from Google Sheets / Apps Script to a reusable multi-project platform</w:t>
      </w:r>
    </w:p>
    <w:p>
      <w:pPr>
        <w:jc w:val="center"/>
      </w:pPr>
      <w:r>
        <w:rPr>
          <w:i/>
          <w:color w:val="666666"/>
          <w:sz w:val="20"/>
        </w:rPr>
        <w:t>Verified current state: August 26, 2026</w:t>
      </w:r>
    </w:p>
    <w:tbl>
      <w:tblPr>
        <w:tblW w:type="auto" w:w="0"/>
        <w:jc w:val="center"/>
        <w:tblLayout w:type="fixed"/>
        <w:tblLook w:firstColumn="1" w:firstRow="1" w:lastColumn="0" w:lastRow="0" w:noHBand="0" w:noVBand="1" w:val="04A0"/>
      </w:tblPr>
      <w:tblGrid>
        <w:gridCol w:w="9792"/>
      </w:tblGrid>
      <w:tr>
        <w:tc>
          <w:tcPr>
            <w:tcW w:type="dxa" w:w="10166"/>
            <w:shd w:fill="17365D"/>
          </w:tcPr>
          <w:p>
            <w:r/>
          </w:p>
        </w:tc>
      </w:tr>
    </w:tbl>
    <w:p/>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b/>
                <w:color w:val="17365D"/>
              </w:rPr>
              <w:t>Recommendation in one sentence</w:t>
            </w:r>
          </w:p>
          <w:p>
            <w:pPr>
              <w:spacing w:after="0"/>
            </w:pPr>
            <w:r>
              <w:t>Do not replace the current Production system simply because it has 805 FMRs or ~18 active users; instead, begin a parallel cloud-platform track focused on reusability, stronger transactional guarantees, automation, and multi-project deployment, with Cloud SQL for PostgreSQL + Cloud Run as the preferred target.</w:t>
            </w:r>
          </w:p>
        </w:tc>
      </w:tr>
    </w:tbl>
    <w:p>
      <w:pPr>
        <w:pStyle w:val="Heading1"/>
      </w:pPr>
      <w:r>
        <w:t>1. Why Consider a Next Phase Now?</w:t>
      </w:r>
    </w:p>
    <w:p>
      <w:r>
        <w:t>The deployed Apps Script / Google Sheets system is functioning at the current scale. Its next-phase driver is not immediate capacity failure. The stronger business case is to make the solution reusable on other projects, reduce manual deployment/administration, improve transactional safety, and create a platform that can grow beyond a single spreadsheet without re-engineering every new project.</w:t>
      </w:r>
    </w:p>
    <w:tbl>
      <w:tblPr>
        <w:tblStyle w:val="TableGrid"/>
        <w:tblW w:type="auto" w:w="0"/>
        <w:jc w:val="center"/>
        <w:tblLook w:firstColumn="1" w:firstRow="1" w:lastColumn="0" w:lastRow="0" w:noHBand="0" w:noVBand="1" w:val="04A0"/>
      </w:tblPr>
      <w:tblGrid>
        <w:gridCol w:w="5083"/>
        <w:gridCol w:w="5083"/>
      </w:tblGrid>
      <w:tr>
        <w:tc>
          <w:tcPr>
            <w:tcW w:type="dxa" w:w="3600"/>
            <w:shd w:fill="17365D"/>
            <w:tcMar>
              <w:top w:w="80" w:type="dxa"/>
              <w:start w:w="90" w:type="dxa"/>
              <w:bottom w:w="80" w:type="dxa"/>
              <w:end w:w="90" w:type="dxa"/>
            </w:tcMar>
          </w:tcPr>
          <w:p>
            <w:r>
              <w:rPr>
                <w:b/>
                <w:color w:val="FFFFFF"/>
                <w:sz w:val="17"/>
              </w:rPr>
              <w:t>Current fact</w:t>
            </w:r>
          </w:p>
        </w:tc>
        <w:tc>
          <w:tcPr>
            <w:tcW w:type="dxa" w:w="6624"/>
            <w:shd w:fill="17365D"/>
            <w:tcMar>
              <w:top w:w="80" w:type="dxa"/>
              <w:start w:w="90" w:type="dxa"/>
              <w:bottom w:w="80" w:type="dxa"/>
              <w:end w:w="90" w:type="dxa"/>
            </w:tcMar>
          </w:tcPr>
          <w:p>
            <w:r>
              <w:rPr>
                <w:b/>
                <w:color w:val="FFFFFF"/>
                <w:sz w:val="17"/>
              </w:rPr>
              <w:t>Implication</w:t>
            </w:r>
          </w:p>
        </w:tc>
      </w:tr>
      <w:tr>
        <w:tc>
          <w:tcPr>
            <w:tcW w:type="dxa" w:w="3600"/>
            <w:tcMar>
              <w:top w:w="80" w:type="dxa"/>
              <w:start w:w="90" w:type="dxa"/>
              <w:bottom w:w="80" w:type="dxa"/>
              <w:end w:w="90" w:type="dxa"/>
            </w:tcMar>
            <w:vAlign w:val="top"/>
          </w:tcPr>
          <w:p>
            <w:r>
              <w:rPr>
                <w:sz w:val="17"/>
              </w:rPr>
              <w:t>805 active FMRs / 5,593 material lines</w:t>
            </w:r>
          </w:p>
        </w:tc>
        <w:tc>
          <w:tcPr>
            <w:tcW w:type="dxa" w:w="6624"/>
            <w:tcMar>
              <w:top w:w="80" w:type="dxa"/>
              <w:start w:w="90" w:type="dxa"/>
              <w:bottom w:w="80" w:type="dxa"/>
              <w:end w:w="90" w:type="dxa"/>
            </w:tcMar>
            <w:vAlign w:val="top"/>
          </w:tcPr>
          <w:p>
            <w:r>
              <w:rPr>
                <w:sz w:val="17"/>
              </w:rPr>
              <w:t>Tiny for a relational database; row count alone does not justify emergency migration.</w:t>
            </w:r>
          </w:p>
        </w:tc>
      </w:tr>
      <w:tr>
        <w:tc>
          <w:tcPr>
            <w:tcW w:type="dxa" w:w="3600"/>
            <w:tcMar>
              <w:top w:w="80" w:type="dxa"/>
              <w:start w:w="90" w:type="dxa"/>
              <w:bottom w:w="80" w:type="dxa"/>
              <w:end w:w="90" w:type="dxa"/>
            </w:tcMar>
            <w:vAlign w:val="top"/>
          </w:tcPr>
          <w:p>
            <w:r>
              <w:rPr>
                <w:sz w:val="17"/>
              </w:rPr>
              <w:t>738 material transactions / 170 backorder requests</w:t>
            </w:r>
          </w:p>
        </w:tc>
        <w:tc>
          <w:tcPr>
            <w:tcW w:type="dxa" w:w="6624"/>
            <w:tcMar>
              <w:top w:w="80" w:type="dxa"/>
              <w:start w:w="90" w:type="dxa"/>
              <w:bottom w:w="80" w:type="dxa"/>
              <w:end w:w="90" w:type="dxa"/>
            </w:tcMar>
            <w:vAlign w:val="top"/>
          </w:tcPr>
          <w:p>
            <w:r>
              <w:rPr>
                <w:sz w:val="17"/>
              </w:rPr>
              <w:t>The domain is becoming a real transactional ledger and benefits from database guarantees.</w:t>
            </w:r>
          </w:p>
        </w:tc>
      </w:tr>
      <w:tr>
        <w:tc>
          <w:tcPr>
            <w:tcW w:type="dxa" w:w="3600"/>
            <w:tcMar>
              <w:top w:w="80" w:type="dxa"/>
              <w:start w:w="90" w:type="dxa"/>
              <w:bottom w:w="80" w:type="dxa"/>
              <w:end w:w="90" w:type="dxa"/>
            </w:tcMar>
            <w:vAlign w:val="top"/>
          </w:tcPr>
          <w:p>
            <w:r>
              <w:rPr>
                <w:sz w:val="17"/>
              </w:rPr>
              <w:t>18 active users</w:t>
            </w:r>
          </w:p>
        </w:tc>
        <w:tc>
          <w:tcPr>
            <w:tcW w:type="dxa" w:w="6624"/>
            <w:tcMar>
              <w:top w:w="80" w:type="dxa"/>
              <w:start w:w="90" w:type="dxa"/>
              <w:bottom w:w="80" w:type="dxa"/>
              <w:end w:w="90" w:type="dxa"/>
            </w:tcMar>
            <w:vAlign w:val="top"/>
          </w:tcPr>
          <w:p>
            <w:r>
              <w:rPr>
                <w:sz w:val="17"/>
              </w:rPr>
              <w:t>Current concurrency is modest; Apps Script limits are not yet the primary bottleneck.</w:t>
            </w:r>
          </w:p>
        </w:tc>
      </w:tr>
      <w:tr>
        <w:tc>
          <w:tcPr>
            <w:tcW w:type="dxa" w:w="3600"/>
            <w:tcMar>
              <w:top w:w="80" w:type="dxa"/>
              <w:start w:w="90" w:type="dxa"/>
              <w:bottom w:w="80" w:type="dxa"/>
              <w:end w:w="90" w:type="dxa"/>
            </w:tcMar>
            <w:vAlign w:val="top"/>
          </w:tcPr>
          <w:p>
            <w:r>
              <w:rPr>
                <w:sz w:val="17"/>
              </w:rPr>
              <w:t>16,779 Search_Index rows</w:t>
            </w:r>
          </w:p>
        </w:tc>
        <w:tc>
          <w:tcPr>
            <w:tcW w:type="dxa" w:w="6624"/>
            <w:tcMar>
              <w:top w:w="80" w:type="dxa"/>
              <w:start w:w="90" w:type="dxa"/>
              <w:bottom w:w="80" w:type="dxa"/>
              <w:end w:w="90" w:type="dxa"/>
            </w:tcMar>
            <w:vAlign w:val="top"/>
          </w:tcPr>
          <w:p>
            <w:r>
              <w:rPr>
                <w:sz w:val="17"/>
              </w:rPr>
              <w:t>Manual index tables are compensating for Sheets query limitations.</w:t>
            </w:r>
          </w:p>
        </w:tc>
      </w:tr>
      <w:tr>
        <w:tc>
          <w:tcPr>
            <w:tcW w:type="dxa" w:w="3600"/>
            <w:tcMar>
              <w:top w:w="80" w:type="dxa"/>
              <w:start w:w="90" w:type="dxa"/>
              <w:bottom w:w="80" w:type="dxa"/>
              <w:end w:w="90" w:type="dxa"/>
            </w:tcMar>
            <w:vAlign w:val="top"/>
          </w:tcPr>
          <w:p>
            <w:r>
              <w:rPr>
                <w:sz w:val="17"/>
              </w:rPr>
              <w:t>Manual deployment + manual backups</w:t>
            </w:r>
          </w:p>
        </w:tc>
        <w:tc>
          <w:tcPr>
            <w:tcW w:type="dxa" w:w="6624"/>
            <w:tcMar>
              <w:top w:w="80" w:type="dxa"/>
              <w:start w:w="90" w:type="dxa"/>
              <w:bottom w:w="80" w:type="dxa"/>
              <w:end w:w="90" w:type="dxa"/>
            </w:tcMar>
            <w:vAlign w:val="top"/>
          </w:tcPr>
          <w:p>
            <w:r>
              <w:rPr>
                <w:sz w:val="17"/>
              </w:rPr>
              <w:t>Operational toil and configuration drift become more important as the solution is reused.</w:t>
            </w:r>
          </w:p>
        </w:tc>
      </w:tr>
      <w:tr>
        <w:tc>
          <w:tcPr>
            <w:tcW w:type="dxa" w:w="3600"/>
            <w:tcMar>
              <w:top w:w="80" w:type="dxa"/>
              <w:start w:w="90" w:type="dxa"/>
              <w:bottom w:w="80" w:type="dxa"/>
              <w:end w:w="90" w:type="dxa"/>
            </w:tcMar>
            <w:vAlign w:val="top"/>
          </w:tcPr>
          <w:p>
            <w:r>
              <w:rPr>
                <w:sz w:val="17"/>
              </w:rPr>
              <w:t>Separate TEST/PROD spreadsheets + deployments</w:t>
            </w:r>
          </w:p>
        </w:tc>
        <w:tc>
          <w:tcPr>
            <w:tcW w:type="dxa" w:w="6624"/>
            <w:tcMar>
              <w:top w:w="80" w:type="dxa"/>
              <w:start w:w="90" w:type="dxa"/>
              <w:bottom w:w="80" w:type="dxa"/>
              <w:end w:w="90" w:type="dxa"/>
            </w:tcMar>
            <w:vAlign w:val="top"/>
          </w:tcPr>
          <w:p>
            <w:r>
              <w:rPr>
                <w:sz w:val="17"/>
              </w:rPr>
              <w:t>The team already thinks in environments; this maps naturally to cloud projects and CI/CD.</w:t>
            </w:r>
          </w:p>
        </w:tc>
      </w:tr>
    </w:tbl>
    <w:p>
      <w:pPr>
        <w:pStyle w:val="Heading1"/>
      </w:pPr>
      <w:r>
        <w:t>2. Current Platform — Strengths and Limits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7365D"/>
            <w:tcMar>
              <w:top w:w="80" w:type="dxa"/>
              <w:start w:w="90" w:type="dxa"/>
              <w:bottom w:w="80" w:type="dxa"/>
              <w:end w:w="90" w:type="dxa"/>
            </w:tcMar>
          </w:tcPr>
          <w:p>
            <w:r>
              <w:rPr>
                <w:b/>
                <w:color w:val="FFFFFF"/>
                <w:sz w:val="17"/>
              </w:rPr>
              <w:t>Dimension</w:t>
            </w:r>
          </w:p>
        </w:tc>
        <w:tc>
          <w:tcPr>
            <w:tcW w:type="dxa" w:w="3816"/>
            <w:shd w:fill="17365D"/>
            <w:tcMar>
              <w:top w:w="80" w:type="dxa"/>
              <w:start w:w="90" w:type="dxa"/>
              <w:bottom w:w="80" w:type="dxa"/>
              <w:end w:w="90" w:type="dxa"/>
            </w:tcMar>
          </w:tcPr>
          <w:p>
            <w:r>
              <w:rPr>
                <w:b/>
                <w:color w:val="FFFFFF"/>
                <w:sz w:val="17"/>
              </w:rPr>
              <w:t>Current strengths</w:t>
            </w:r>
          </w:p>
        </w:tc>
        <w:tc>
          <w:tcPr>
            <w:tcW w:type="dxa" w:w="4536"/>
            <w:shd w:fill="17365D"/>
            <w:tcMar>
              <w:top w:w="80" w:type="dxa"/>
              <w:start w:w="90" w:type="dxa"/>
              <w:bottom w:w="80" w:type="dxa"/>
              <w:end w:w="90" w:type="dxa"/>
            </w:tcMar>
          </w:tcPr>
          <w:p>
            <w:r>
              <w:rPr>
                <w:b/>
                <w:color w:val="FFFFFF"/>
                <w:sz w:val="17"/>
              </w:rPr>
              <w:t>Scaling / reuse limitation</w:t>
            </w:r>
          </w:p>
        </w:tc>
      </w:tr>
      <w:tr>
        <w:tc>
          <w:tcPr>
            <w:tcW w:type="dxa" w:w="1944"/>
            <w:tcMar>
              <w:top w:w="80" w:type="dxa"/>
              <w:start w:w="90" w:type="dxa"/>
              <w:bottom w:w="80" w:type="dxa"/>
              <w:end w:w="90" w:type="dxa"/>
            </w:tcMar>
            <w:vAlign w:val="top"/>
          </w:tcPr>
          <w:p>
            <w:r>
              <w:rPr>
                <w:sz w:val="17"/>
              </w:rPr>
              <w:t>Speed to change</w:t>
            </w:r>
          </w:p>
        </w:tc>
        <w:tc>
          <w:tcPr>
            <w:tcW w:type="dxa" w:w="3816"/>
            <w:tcMar>
              <w:top w:w="80" w:type="dxa"/>
              <w:start w:w="90" w:type="dxa"/>
              <w:bottom w:w="80" w:type="dxa"/>
              <w:end w:w="90" w:type="dxa"/>
            </w:tcMar>
            <w:vAlign w:val="top"/>
          </w:tcPr>
          <w:p>
            <w:r>
              <w:rPr>
                <w:sz w:val="17"/>
              </w:rPr>
              <w:t>Apps Script and Sheets are fast for small-team iteration.</w:t>
            </w:r>
          </w:p>
        </w:tc>
        <w:tc>
          <w:tcPr>
            <w:tcW w:type="dxa" w:w="4536"/>
            <w:tcMar>
              <w:top w:w="80" w:type="dxa"/>
              <w:start w:w="90" w:type="dxa"/>
              <w:bottom w:w="80" w:type="dxa"/>
              <w:end w:w="90" w:type="dxa"/>
            </w:tcMar>
            <w:vAlign w:val="top"/>
          </w:tcPr>
          <w:p>
            <w:r>
              <w:rPr>
                <w:sz w:val="17"/>
              </w:rPr>
              <w:t>Manual deployment and weak automated test/deploy controls.</w:t>
            </w:r>
          </w:p>
        </w:tc>
      </w:tr>
      <w:tr>
        <w:tc>
          <w:tcPr>
            <w:tcW w:type="dxa" w:w="1944"/>
            <w:tcMar>
              <w:top w:w="80" w:type="dxa"/>
              <w:start w:w="90" w:type="dxa"/>
              <w:bottom w:w="80" w:type="dxa"/>
              <w:end w:w="90" w:type="dxa"/>
            </w:tcMar>
            <w:vAlign w:val="top"/>
          </w:tcPr>
          <w:p>
            <w:r>
              <w:rPr>
                <w:sz w:val="17"/>
              </w:rPr>
              <w:t>Data accessibility</w:t>
            </w:r>
          </w:p>
        </w:tc>
        <w:tc>
          <w:tcPr>
            <w:tcW w:type="dxa" w:w="3816"/>
            <w:tcMar>
              <w:top w:w="80" w:type="dxa"/>
              <w:start w:w="90" w:type="dxa"/>
              <w:bottom w:w="80" w:type="dxa"/>
              <w:end w:w="90" w:type="dxa"/>
            </w:tcMar>
            <w:vAlign w:val="top"/>
          </w:tcPr>
          <w:p>
            <w:r>
              <w:rPr>
                <w:sz w:val="17"/>
              </w:rPr>
              <w:t>Leadership can inspect a spreadsheet directly.</w:t>
            </w:r>
          </w:p>
        </w:tc>
        <w:tc>
          <w:tcPr>
            <w:tcW w:type="dxa" w:w="4536"/>
            <w:tcMar>
              <w:top w:w="80" w:type="dxa"/>
              <w:start w:w="90" w:type="dxa"/>
              <w:bottom w:w="80" w:type="dxa"/>
              <w:end w:w="90" w:type="dxa"/>
            </w:tcMar>
            <w:vAlign w:val="top"/>
          </w:tcPr>
          <w:p>
            <w:r>
              <w:rPr>
                <w:sz w:val="17"/>
              </w:rPr>
              <w:t>Direct spreadsheet access can bypass application controls.</w:t>
            </w:r>
          </w:p>
        </w:tc>
      </w:tr>
      <w:tr>
        <w:tc>
          <w:tcPr>
            <w:tcW w:type="dxa" w:w="1944"/>
            <w:tcMar>
              <w:top w:w="80" w:type="dxa"/>
              <w:start w:w="90" w:type="dxa"/>
              <w:bottom w:w="80" w:type="dxa"/>
              <w:end w:w="90" w:type="dxa"/>
            </w:tcMar>
            <w:vAlign w:val="top"/>
          </w:tcPr>
          <w:p>
            <w:r>
              <w:rPr>
                <w:sz w:val="17"/>
              </w:rPr>
              <w:t>Search</w:t>
            </w:r>
          </w:p>
        </w:tc>
        <w:tc>
          <w:tcPr>
            <w:tcW w:type="dxa" w:w="3816"/>
            <w:tcMar>
              <w:top w:w="80" w:type="dxa"/>
              <w:start w:w="90" w:type="dxa"/>
              <w:bottom w:w="80" w:type="dxa"/>
              <w:end w:w="90" w:type="dxa"/>
            </w:tcMar>
            <w:vAlign w:val="top"/>
          </w:tcPr>
          <w:p>
            <w:r>
              <w:rPr>
                <w:sz w:val="17"/>
              </w:rPr>
              <w:t>Custom Search_Index/Operational_Index provide acceptable performance.</w:t>
            </w:r>
          </w:p>
        </w:tc>
        <w:tc>
          <w:tcPr>
            <w:tcW w:type="dxa" w:w="4536"/>
            <w:tcMar>
              <w:top w:w="80" w:type="dxa"/>
              <w:start w:w="90" w:type="dxa"/>
              <w:bottom w:w="80" w:type="dxa"/>
              <w:end w:w="90" w:type="dxa"/>
            </w:tcMar>
            <w:vAlign w:val="top"/>
          </w:tcPr>
          <w:p>
            <w:r>
              <w:rPr>
                <w:sz w:val="17"/>
              </w:rPr>
              <w:t>Indexes are application-maintained and row-number based.</w:t>
            </w:r>
          </w:p>
        </w:tc>
      </w:tr>
      <w:tr>
        <w:tc>
          <w:tcPr>
            <w:tcW w:type="dxa" w:w="1944"/>
            <w:tcMar>
              <w:top w:w="80" w:type="dxa"/>
              <w:start w:w="90" w:type="dxa"/>
              <w:bottom w:w="80" w:type="dxa"/>
              <w:end w:w="90" w:type="dxa"/>
            </w:tcMar>
            <w:vAlign w:val="top"/>
          </w:tcPr>
          <w:p>
            <w:r>
              <w:rPr>
                <w:sz w:val="17"/>
              </w:rPr>
              <w:t>Concurrency</w:t>
            </w:r>
          </w:p>
        </w:tc>
        <w:tc>
          <w:tcPr>
            <w:tcW w:type="dxa" w:w="3816"/>
            <w:tcMar>
              <w:top w:w="80" w:type="dxa"/>
              <w:start w:w="90" w:type="dxa"/>
              <w:bottom w:w="80" w:type="dxa"/>
              <w:end w:w="90" w:type="dxa"/>
            </w:tcMar>
            <w:vAlign w:val="top"/>
          </w:tcPr>
          <w:p>
            <w:r>
              <w:rPr>
                <w:sz w:val="17"/>
              </w:rPr>
              <w:t>Locks are sufficient for modest traffic.</w:t>
            </w:r>
          </w:p>
        </w:tc>
        <w:tc>
          <w:tcPr>
            <w:tcW w:type="dxa" w:w="4536"/>
            <w:tcMar>
              <w:top w:w="80" w:type="dxa"/>
              <w:start w:w="90" w:type="dxa"/>
              <w:bottom w:w="80" w:type="dxa"/>
              <w:end w:w="90" w:type="dxa"/>
            </w:tcMar>
            <w:vAlign w:val="top"/>
          </w:tcPr>
          <w:p>
            <w:r>
              <w:rPr>
                <w:sz w:val="17"/>
              </w:rPr>
              <w:t>No row-level database transactions; global/script locking is coarse.</w:t>
            </w:r>
          </w:p>
        </w:tc>
      </w:tr>
      <w:tr>
        <w:tc>
          <w:tcPr>
            <w:tcW w:type="dxa" w:w="1944"/>
            <w:tcMar>
              <w:top w:w="80" w:type="dxa"/>
              <w:start w:w="90" w:type="dxa"/>
              <w:bottom w:w="80" w:type="dxa"/>
              <w:end w:w="90" w:type="dxa"/>
            </w:tcMar>
            <w:vAlign w:val="top"/>
          </w:tcPr>
          <w:p>
            <w:r>
              <w:rPr>
                <w:sz w:val="17"/>
              </w:rPr>
              <w:t>Integrity</w:t>
            </w:r>
          </w:p>
        </w:tc>
        <w:tc>
          <w:tcPr>
            <w:tcW w:type="dxa" w:w="3816"/>
            <w:tcMar>
              <w:top w:w="80" w:type="dxa"/>
              <w:start w:w="90" w:type="dxa"/>
              <w:bottom w:w="80" w:type="dxa"/>
              <w:end w:w="90" w:type="dxa"/>
            </w:tcMar>
            <w:vAlign w:val="top"/>
          </w:tcPr>
          <w:p>
            <w:r>
              <w:rPr>
                <w:sz w:val="17"/>
              </w:rPr>
              <w:t>Application validation and audit are strong.</w:t>
            </w:r>
          </w:p>
        </w:tc>
        <w:tc>
          <w:tcPr>
            <w:tcW w:type="dxa" w:w="4536"/>
            <w:tcMar>
              <w:top w:w="80" w:type="dxa"/>
              <w:start w:w="90" w:type="dxa"/>
              <w:bottom w:w="80" w:type="dxa"/>
              <w:end w:w="90" w:type="dxa"/>
            </w:tcMar>
            <w:vAlign w:val="top"/>
          </w:tcPr>
          <w:p>
            <w:r>
              <w:rPr>
                <w:sz w:val="17"/>
              </w:rPr>
              <w:t>No native FK/UNIQUE/CHECK constraints across Sheets.</w:t>
            </w:r>
          </w:p>
        </w:tc>
      </w:tr>
      <w:tr>
        <w:tc>
          <w:tcPr>
            <w:tcW w:type="dxa" w:w="1944"/>
            <w:tcMar>
              <w:top w:w="80" w:type="dxa"/>
              <w:start w:w="90" w:type="dxa"/>
              <w:bottom w:w="80" w:type="dxa"/>
              <w:end w:w="90" w:type="dxa"/>
            </w:tcMar>
            <w:vAlign w:val="top"/>
          </w:tcPr>
          <w:p>
            <w:r>
              <w:rPr>
                <w:sz w:val="17"/>
              </w:rPr>
              <w:t>Backups</w:t>
            </w:r>
          </w:p>
        </w:tc>
        <w:tc>
          <w:tcPr>
            <w:tcW w:type="dxa" w:w="3816"/>
            <w:tcMar>
              <w:top w:w="80" w:type="dxa"/>
              <w:start w:w="90" w:type="dxa"/>
              <w:bottom w:w="80" w:type="dxa"/>
              <w:end w:w="90" w:type="dxa"/>
            </w:tcMar>
            <w:vAlign w:val="top"/>
          </w:tcPr>
          <w:p>
            <w:r>
              <w:rPr>
                <w:sz w:val="17"/>
              </w:rPr>
              <w:t>Drive copies are easy and human-readable.</w:t>
            </w:r>
          </w:p>
        </w:tc>
        <w:tc>
          <w:tcPr>
            <w:tcW w:type="dxa" w:w="4536"/>
            <w:tcMar>
              <w:top w:w="80" w:type="dxa"/>
              <w:start w:w="90" w:type="dxa"/>
              <w:bottom w:w="80" w:type="dxa"/>
              <w:end w:w="90" w:type="dxa"/>
            </w:tcMar>
            <w:vAlign w:val="top"/>
          </w:tcPr>
          <w:p>
            <w:r>
              <w:rPr>
                <w:sz w:val="17"/>
              </w:rPr>
              <w:t>Manual history today; no point-in-time database recovery.</w:t>
            </w:r>
          </w:p>
        </w:tc>
      </w:tr>
      <w:tr>
        <w:tc>
          <w:tcPr>
            <w:tcW w:type="dxa" w:w="1944"/>
            <w:tcMar>
              <w:top w:w="80" w:type="dxa"/>
              <w:start w:w="90" w:type="dxa"/>
              <w:bottom w:w="80" w:type="dxa"/>
              <w:end w:w="90" w:type="dxa"/>
            </w:tcMar>
            <w:vAlign w:val="top"/>
          </w:tcPr>
          <w:p>
            <w:r>
              <w:rPr>
                <w:sz w:val="17"/>
              </w:rPr>
              <w:t>Reuse</w:t>
            </w:r>
          </w:p>
        </w:tc>
        <w:tc>
          <w:tcPr>
            <w:tcW w:type="dxa" w:w="3816"/>
            <w:tcMar>
              <w:top w:w="80" w:type="dxa"/>
              <w:start w:w="90" w:type="dxa"/>
              <w:bottom w:w="80" w:type="dxa"/>
              <w:end w:w="90" w:type="dxa"/>
            </w:tcMar>
            <w:vAlign w:val="top"/>
          </w:tcPr>
          <w:p>
            <w:r>
              <w:rPr>
                <w:sz w:val="17"/>
              </w:rPr>
              <w:t>Shared Core library helps.</w:t>
            </w:r>
          </w:p>
        </w:tc>
        <w:tc>
          <w:tcPr>
            <w:tcW w:type="dxa" w:w="4536"/>
            <w:tcMar>
              <w:top w:w="80" w:type="dxa"/>
              <w:start w:w="90" w:type="dxa"/>
              <w:bottom w:w="80" w:type="dxa"/>
              <w:end w:w="90" w:type="dxa"/>
            </w:tcMar>
            <w:vAlign w:val="top"/>
          </w:tcPr>
          <w:p>
            <w:r>
              <w:rPr>
                <w:sz w:val="17"/>
              </w:rPr>
              <w:t>Configuration, schema and Google permissions are still tightly coupled to one workbook/project.</w:t>
            </w:r>
          </w:p>
        </w:tc>
      </w:tr>
    </w:tbl>
    <w:p>
      <w:pPr>
        <w:pStyle w:val="Heading1"/>
      </w:pPr>
      <w:r>
        <w:t>3. Platform Options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shd w:fill="17365D"/>
            <w:tcMar>
              <w:top w:w="80" w:type="dxa"/>
              <w:start w:w="90" w:type="dxa"/>
              <w:bottom w:w="80" w:type="dxa"/>
              <w:end w:w="90" w:type="dxa"/>
            </w:tcMar>
          </w:tcPr>
          <w:p>
            <w:r>
              <w:rPr>
                <w:b/>
                <w:color w:val="FFFFFF"/>
                <w:sz w:val="15"/>
              </w:rPr>
              <w:t>Option</w:t>
            </w:r>
          </w:p>
        </w:tc>
        <w:tc>
          <w:tcPr>
            <w:tcW w:type="dxa" w:w="2088"/>
            <w:shd w:fill="17365D"/>
            <w:tcMar>
              <w:top w:w="80" w:type="dxa"/>
              <w:start w:w="90" w:type="dxa"/>
              <w:bottom w:w="80" w:type="dxa"/>
              <w:end w:w="90" w:type="dxa"/>
            </w:tcMar>
          </w:tcPr>
          <w:p>
            <w:r>
              <w:rPr>
                <w:b/>
                <w:color w:val="FFFFFF"/>
                <w:sz w:val="15"/>
              </w:rPr>
              <w:t>Fit</w:t>
            </w:r>
          </w:p>
        </w:tc>
        <w:tc>
          <w:tcPr>
            <w:tcW w:type="dxa" w:w="2952"/>
            <w:shd w:fill="17365D"/>
            <w:tcMar>
              <w:top w:w="80" w:type="dxa"/>
              <w:start w:w="90" w:type="dxa"/>
              <w:bottom w:w="80" w:type="dxa"/>
              <w:end w:w="90" w:type="dxa"/>
            </w:tcMar>
          </w:tcPr>
          <w:p>
            <w:r>
              <w:rPr>
                <w:b/>
                <w:color w:val="FFFFFF"/>
                <w:sz w:val="15"/>
              </w:rPr>
              <w:t>Advantages</w:t>
            </w:r>
          </w:p>
        </w:tc>
        <w:tc>
          <w:tcPr>
            <w:tcW w:type="dxa" w:w="3456"/>
            <w:shd w:fill="17365D"/>
            <w:tcMar>
              <w:top w:w="80" w:type="dxa"/>
              <w:start w:w="90" w:type="dxa"/>
              <w:bottom w:w="80" w:type="dxa"/>
              <w:end w:w="90" w:type="dxa"/>
            </w:tcMar>
          </w:tcPr>
          <w:p>
            <w:r>
              <w:rPr>
                <w:b/>
                <w:color w:val="FFFFFF"/>
                <w:sz w:val="15"/>
              </w:rPr>
              <w:t>Tradeoffs</w:t>
            </w:r>
          </w:p>
        </w:tc>
        <w:tc>
          <w:tcPr>
            <w:tcW w:type="dxa" w:w="2016"/>
            <w:shd w:fill="17365D"/>
            <w:tcMar>
              <w:top w:w="80" w:type="dxa"/>
              <w:start w:w="90" w:type="dxa"/>
              <w:bottom w:w="80" w:type="dxa"/>
              <w:end w:w="90" w:type="dxa"/>
            </w:tcMar>
          </w:tcPr>
          <w:p>
            <w:r>
              <w:rPr>
                <w:b/>
                <w:color w:val="FFFFFF"/>
                <w:sz w:val="15"/>
              </w:rPr>
              <w:t>Recommendation</w:t>
            </w:r>
          </w:p>
        </w:tc>
      </w:tr>
      <w:tr>
        <w:tc>
          <w:tcPr>
            <w:tcW w:type="dxa" w:w="2016"/>
            <w:tcMar>
              <w:top w:w="80" w:type="dxa"/>
              <w:start w:w="90" w:type="dxa"/>
              <w:bottom w:w="80" w:type="dxa"/>
              <w:end w:w="90" w:type="dxa"/>
            </w:tcMar>
            <w:vAlign w:val="top"/>
          </w:tcPr>
          <w:p>
            <w:r>
              <w:rPr>
                <w:sz w:val="15"/>
              </w:rPr>
              <w:t>Keep Apps Script + Sheets</w:t>
            </w:r>
          </w:p>
        </w:tc>
        <w:tc>
          <w:tcPr>
            <w:tcW w:type="dxa" w:w="2088"/>
            <w:tcMar>
              <w:top w:w="80" w:type="dxa"/>
              <w:start w:w="90" w:type="dxa"/>
              <w:bottom w:w="80" w:type="dxa"/>
              <w:end w:w="90" w:type="dxa"/>
            </w:tcMar>
            <w:vAlign w:val="top"/>
          </w:tcPr>
          <w:p>
            <w:r>
              <w:rPr>
                <w:sz w:val="15"/>
              </w:rPr>
              <w:t>Single project / modest users</w:t>
            </w:r>
          </w:p>
        </w:tc>
        <w:tc>
          <w:tcPr>
            <w:tcW w:type="dxa" w:w="2952"/>
            <w:tcMar>
              <w:top w:w="80" w:type="dxa"/>
              <w:start w:w="90" w:type="dxa"/>
              <w:bottom w:w="80" w:type="dxa"/>
              <w:end w:w="90" w:type="dxa"/>
            </w:tcMar>
            <w:vAlign w:val="top"/>
          </w:tcPr>
          <w:p>
            <w:r>
              <w:rPr>
                <w:sz w:val="15"/>
              </w:rPr>
              <w:t>Lowest cost and migration risk; current system already works.</w:t>
            </w:r>
          </w:p>
        </w:tc>
        <w:tc>
          <w:tcPr>
            <w:tcW w:type="dxa" w:w="3456"/>
            <w:tcMar>
              <w:top w:w="80" w:type="dxa"/>
              <w:start w:w="90" w:type="dxa"/>
              <w:bottom w:w="80" w:type="dxa"/>
              <w:end w:w="90" w:type="dxa"/>
            </w:tcMar>
            <w:vAlign w:val="top"/>
          </w:tcPr>
          <w:p>
            <w:r>
              <w:rPr>
                <w:sz w:val="15"/>
              </w:rPr>
              <w:t>Manual operations, weak transactional guarantees, harder multi-project reuse.</w:t>
            </w:r>
          </w:p>
        </w:tc>
        <w:tc>
          <w:tcPr>
            <w:tcW w:type="dxa" w:w="2016"/>
            <w:tcMar>
              <w:top w:w="80" w:type="dxa"/>
              <w:start w:w="90" w:type="dxa"/>
              <w:bottom w:w="80" w:type="dxa"/>
              <w:end w:w="90" w:type="dxa"/>
            </w:tcMar>
            <w:vAlign w:val="top"/>
          </w:tcPr>
          <w:p>
            <w:r>
              <w:rPr>
                <w:sz w:val="15"/>
              </w:rPr>
              <w:t>Keep as current PROD while cloud track is built.</w:t>
            </w:r>
          </w:p>
        </w:tc>
      </w:tr>
      <w:tr>
        <w:tc>
          <w:tcPr>
            <w:tcW w:type="dxa" w:w="2016"/>
            <w:tcMar>
              <w:top w:w="80" w:type="dxa"/>
              <w:start w:w="90" w:type="dxa"/>
              <w:bottom w:w="80" w:type="dxa"/>
              <w:end w:w="90" w:type="dxa"/>
            </w:tcMar>
            <w:vAlign w:val="top"/>
          </w:tcPr>
          <w:p>
            <w:r>
              <w:rPr>
                <w:sz w:val="15"/>
              </w:rPr>
              <w:t>Cloud SQL MySQL + Cloud Run</w:t>
            </w:r>
          </w:p>
        </w:tc>
        <w:tc>
          <w:tcPr>
            <w:tcW w:type="dxa" w:w="2088"/>
            <w:tcMar>
              <w:top w:w="80" w:type="dxa"/>
              <w:start w:w="90" w:type="dxa"/>
              <w:bottom w:w="80" w:type="dxa"/>
              <w:end w:w="90" w:type="dxa"/>
            </w:tcMar>
            <w:vAlign w:val="top"/>
          </w:tcPr>
          <w:p>
            <w:r>
              <w:rPr>
                <w:sz w:val="15"/>
              </w:rPr>
              <w:t>Relational multi-project app</w:t>
            </w:r>
          </w:p>
        </w:tc>
        <w:tc>
          <w:tcPr>
            <w:tcW w:type="dxa" w:w="2952"/>
            <w:tcMar>
              <w:top w:w="80" w:type="dxa"/>
              <w:start w:w="90" w:type="dxa"/>
              <w:bottom w:w="80" w:type="dxa"/>
              <w:end w:w="90" w:type="dxa"/>
            </w:tcMar>
            <w:vAlign w:val="top"/>
          </w:tcPr>
          <w:p>
            <w:r>
              <w:rPr>
                <w:sz w:val="15"/>
              </w:rPr>
              <w:t>Managed SQL; familiar; strong transactions and indexes.</w:t>
            </w:r>
          </w:p>
        </w:tc>
        <w:tc>
          <w:tcPr>
            <w:tcW w:type="dxa" w:w="3456"/>
            <w:tcMar>
              <w:top w:w="80" w:type="dxa"/>
              <w:start w:w="90" w:type="dxa"/>
              <w:bottom w:w="80" w:type="dxa"/>
              <w:end w:w="90" w:type="dxa"/>
            </w:tcMar>
            <w:vAlign w:val="top"/>
          </w:tcPr>
          <w:p>
            <w:r>
              <w:rPr>
                <w:sz w:val="15"/>
              </w:rPr>
              <w:t>Some schema/feature differences vs PostgreSQL; still need app/API migration.</w:t>
            </w:r>
          </w:p>
        </w:tc>
        <w:tc>
          <w:tcPr>
            <w:tcW w:type="dxa" w:w="2016"/>
            <w:tcMar>
              <w:top w:w="80" w:type="dxa"/>
              <w:start w:w="90" w:type="dxa"/>
              <w:bottom w:w="80" w:type="dxa"/>
              <w:end w:w="90" w:type="dxa"/>
            </w:tcMar>
            <w:vAlign w:val="top"/>
          </w:tcPr>
          <w:p>
            <w:r>
              <w:rPr>
                <w:sz w:val="15"/>
              </w:rPr>
              <w:t>Viable if company standard is MySQL.</w:t>
            </w:r>
          </w:p>
        </w:tc>
      </w:tr>
      <w:tr>
        <w:tc>
          <w:tcPr>
            <w:tcW w:type="dxa" w:w="2016"/>
            <w:tcMar>
              <w:top w:w="80" w:type="dxa"/>
              <w:start w:w="90" w:type="dxa"/>
              <w:bottom w:w="80" w:type="dxa"/>
              <w:end w:w="90" w:type="dxa"/>
            </w:tcMar>
            <w:vAlign w:val="top"/>
          </w:tcPr>
          <w:p>
            <w:r>
              <w:rPr>
                <w:sz w:val="15"/>
              </w:rPr>
              <w:t>Cloud SQL PostgreSQL + Cloud Run</w:t>
            </w:r>
          </w:p>
        </w:tc>
        <w:tc>
          <w:tcPr>
            <w:tcW w:type="dxa" w:w="2088"/>
            <w:tcMar>
              <w:top w:w="80" w:type="dxa"/>
              <w:start w:w="90" w:type="dxa"/>
              <w:bottom w:w="80" w:type="dxa"/>
              <w:end w:w="90" w:type="dxa"/>
            </w:tcMar>
            <w:vAlign w:val="top"/>
          </w:tcPr>
          <w:p>
            <w:r>
              <w:rPr>
                <w:sz w:val="15"/>
              </w:rPr>
              <w:t>Relational transactional platform</w:t>
            </w:r>
          </w:p>
        </w:tc>
        <w:tc>
          <w:tcPr>
            <w:tcW w:type="dxa" w:w="2952"/>
            <w:tcMar>
              <w:top w:w="80" w:type="dxa"/>
              <w:start w:w="90" w:type="dxa"/>
              <w:bottom w:w="80" w:type="dxa"/>
              <w:end w:w="90" w:type="dxa"/>
            </w:tcMar>
            <w:vAlign w:val="top"/>
          </w:tcPr>
          <w:p>
            <w:r>
              <w:rPr>
                <w:sz w:val="15"/>
              </w:rPr>
              <w:t>Strong constraints/transactions, JSON support, indexing flexibility, mature ecosystem.</w:t>
            </w:r>
          </w:p>
        </w:tc>
        <w:tc>
          <w:tcPr>
            <w:tcW w:type="dxa" w:w="3456"/>
            <w:tcMar>
              <w:top w:w="80" w:type="dxa"/>
              <w:start w:w="90" w:type="dxa"/>
              <w:bottom w:w="80" w:type="dxa"/>
              <w:end w:w="90" w:type="dxa"/>
            </w:tcMar>
            <w:vAlign w:val="top"/>
          </w:tcPr>
          <w:p>
            <w:r>
              <w:rPr>
                <w:sz w:val="15"/>
              </w:rPr>
              <w:t>Requires new backend + migration effort.</w:t>
            </w:r>
          </w:p>
        </w:tc>
        <w:tc>
          <w:tcPr>
            <w:tcW w:type="dxa" w:w="2016"/>
            <w:tcMar>
              <w:top w:w="80" w:type="dxa"/>
              <w:start w:w="90" w:type="dxa"/>
              <w:bottom w:w="80" w:type="dxa"/>
              <w:end w:w="90" w:type="dxa"/>
            </w:tcMar>
            <w:vAlign w:val="top"/>
          </w:tcPr>
          <w:p>
            <w:r>
              <w:rPr>
                <w:sz w:val="15"/>
              </w:rPr>
              <w:t>Preferred default.</w:t>
            </w:r>
          </w:p>
        </w:tc>
      </w:tr>
      <w:tr>
        <w:tc>
          <w:tcPr>
            <w:tcW w:type="dxa" w:w="2016"/>
            <w:tcMar>
              <w:top w:w="80" w:type="dxa"/>
              <w:start w:w="90" w:type="dxa"/>
              <w:bottom w:w="80" w:type="dxa"/>
              <w:end w:w="90" w:type="dxa"/>
            </w:tcMar>
            <w:vAlign w:val="top"/>
          </w:tcPr>
          <w:p>
            <w:r>
              <w:rPr>
                <w:sz w:val="15"/>
              </w:rPr>
              <w:t>Firestore / Firebase</w:t>
            </w:r>
          </w:p>
        </w:tc>
        <w:tc>
          <w:tcPr>
            <w:tcW w:type="dxa" w:w="2088"/>
            <w:tcMar>
              <w:top w:w="80" w:type="dxa"/>
              <w:start w:w="90" w:type="dxa"/>
              <w:bottom w:w="80" w:type="dxa"/>
              <w:end w:w="90" w:type="dxa"/>
            </w:tcMar>
            <w:vAlign w:val="top"/>
          </w:tcPr>
          <w:p>
            <w:r>
              <w:rPr>
                <w:sz w:val="15"/>
              </w:rPr>
              <w:t>Document/mobile-first apps</w:t>
            </w:r>
          </w:p>
        </w:tc>
        <w:tc>
          <w:tcPr>
            <w:tcW w:type="dxa" w:w="2952"/>
            <w:tcMar>
              <w:top w:w="80" w:type="dxa"/>
              <w:start w:w="90" w:type="dxa"/>
              <w:bottom w:w="80" w:type="dxa"/>
              <w:end w:w="90" w:type="dxa"/>
            </w:tcMar>
            <w:vAlign w:val="top"/>
          </w:tcPr>
          <w:p>
            <w:r>
              <w:rPr>
                <w:sz w:val="15"/>
              </w:rPr>
              <w:t>Serverless, simple auth ecosystem, scalable reads.</w:t>
            </w:r>
          </w:p>
        </w:tc>
        <w:tc>
          <w:tcPr>
            <w:tcW w:type="dxa" w:w="3456"/>
            <w:tcMar>
              <w:top w:w="80" w:type="dxa"/>
              <w:start w:w="90" w:type="dxa"/>
              <w:bottom w:w="80" w:type="dxa"/>
              <w:end w:w="90" w:type="dxa"/>
            </w:tcMar>
            <w:vAlign w:val="top"/>
          </w:tcPr>
          <w:p>
            <w:r>
              <w:rPr>
                <w:sz w:val="15"/>
              </w:rPr>
              <w:t>FMR domain is highly relational; aggregations and ledger consistency become more complex.</w:t>
            </w:r>
          </w:p>
        </w:tc>
        <w:tc>
          <w:tcPr>
            <w:tcW w:type="dxa" w:w="2016"/>
            <w:tcMar>
              <w:top w:w="80" w:type="dxa"/>
              <w:start w:w="90" w:type="dxa"/>
              <w:bottom w:w="80" w:type="dxa"/>
              <w:end w:w="90" w:type="dxa"/>
            </w:tcMar>
            <w:vAlign w:val="top"/>
          </w:tcPr>
          <w:p>
            <w:r>
              <w:rPr>
                <w:sz w:val="15"/>
              </w:rPr>
              <w:t>Not recommended as primary system of record.</w:t>
            </w:r>
          </w:p>
        </w:tc>
      </w:tr>
      <w:tr>
        <w:tc>
          <w:tcPr>
            <w:tcW w:type="dxa" w:w="2016"/>
            <w:tcMar>
              <w:top w:w="80" w:type="dxa"/>
              <w:start w:w="90" w:type="dxa"/>
              <w:bottom w:w="80" w:type="dxa"/>
              <w:end w:w="90" w:type="dxa"/>
            </w:tcMar>
            <w:vAlign w:val="top"/>
          </w:tcPr>
          <w:p>
            <w:r>
              <w:rPr>
                <w:sz w:val="15"/>
              </w:rPr>
              <w:t>Spanner / AlloyDB</w:t>
            </w:r>
          </w:p>
        </w:tc>
        <w:tc>
          <w:tcPr>
            <w:tcW w:type="dxa" w:w="2088"/>
            <w:tcMar>
              <w:top w:w="80" w:type="dxa"/>
              <w:start w:w="90" w:type="dxa"/>
              <w:bottom w:w="80" w:type="dxa"/>
              <w:end w:w="90" w:type="dxa"/>
            </w:tcMar>
            <w:vAlign w:val="top"/>
          </w:tcPr>
          <w:p>
            <w:r>
              <w:rPr>
                <w:sz w:val="15"/>
              </w:rPr>
              <w:t>Very large enterprise workloads</w:t>
            </w:r>
          </w:p>
        </w:tc>
        <w:tc>
          <w:tcPr>
            <w:tcW w:type="dxa" w:w="2952"/>
            <w:tcMar>
              <w:top w:w="80" w:type="dxa"/>
              <w:start w:w="90" w:type="dxa"/>
              <w:bottom w:w="80" w:type="dxa"/>
              <w:end w:w="90" w:type="dxa"/>
            </w:tcMar>
            <w:vAlign w:val="top"/>
          </w:tcPr>
          <w:p>
            <w:r>
              <w:rPr>
                <w:sz w:val="15"/>
              </w:rPr>
              <w:t>Higher scale / availability options.</w:t>
            </w:r>
          </w:p>
        </w:tc>
        <w:tc>
          <w:tcPr>
            <w:tcW w:type="dxa" w:w="3456"/>
            <w:tcMar>
              <w:top w:w="80" w:type="dxa"/>
              <w:start w:w="90" w:type="dxa"/>
              <w:bottom w:w="80" w:type="dxa"/>
              <w:end w:w="90" w:type="dxa"/>
            </w:tcMar>
            <w:vAlign w:val="top"/>
          </w:tcPr>
          <w:p>
            <w:r>
              <w:rPr>
                <w:sz w:val="15"/>
              </w:rPr>
              <w:t>Unnecessary cost/complexity at current size.</w:t>
            </w:r>
          </w:p>
        </w:tc>
        <w:tc>
          <w:tcPr>
            <w:tcW w:type="dxa" w:w="2016"/>
            <w:tcMar>
              <w:top w:w="80" w:type="dxa"/>
              <w:start w:w="90" w:type="dxa"/>
              <w:bottom w:w="80" w:type="dxa"/>
              <w:end w:w="90" w:type="dxa"/>
            </w:tcMar>
            <w:vAlign w:val="top"/>
          </w:tcPr>
          <w:p>
            <w:r>
              <w:rPr>
                <w:sz w:val="15"/>
              </w:rPr>
              <w:t>Revisit only after platform growth justifies it.</w:t>
            </w:r>
          </w:p>
        </w:tc>
      </w:tr>
    </w:tbl>
    <w:p>
      <w:pPr>
        <w:pStyle w:val="Heading1"/>
      </w:pPr>
      <w:r>
        <w:t>4. Why PostgreSQL Is the Preferred Default</w:t>
      </w:r>
    </w:p>
    <w:p>
      <w:pPr>
        <w:pStyle w:val="ListBullet"/>
        <w:spacing w:after="40"/>
      </w:pPr>
      <w:r>
        <w:t>The FMR domain is relational: FMR -&gt; lines -&gt; transactions / bags / backorders / audit.</w:t>
      </w:r>
    </w:p>
    <w:p>
      <w:pPr>
        <w:pStyle w:val="ListBullet"/>
        <w:spacing w:after="40"/>
      </w:pPr>
      <w:r>
        <w:t>Unique constraints can enforce FMR identity per construction project.</w:t>
      </w:r>
    </w:p>
    <w:p>
      <w:pPr>
        <w:pStyle w:val="ListBullet"/>
        <w:spacing w:after="40"/>
      </w:pPr>
      <w:r>
        <w:t>Foreign keys can guarantee that transactions reference valid material lines.</w:t>
      </w:r>
    </w:p>
    <w:p>
      <w:pPr>
        <w:pStyle w:val="ListBullet"/>
        <w:spacing w:after="40"/>
      </w:pPr>
      <w:r>
        <w:t>CHECK constraints can prevent negative quantities and illegal state values.</w:t>
      </w:r>
    </w:p>
    <w:p>
      <w:pPr>
        <w:pStyle w:val="ListBullet"/>
        <w:spacing w:after="40"/>
      </w:pPr>
      <w:r>
        <w:t>Database transactions can atomically write immutable ledger rows and current-state updates.</w:t>
      </w:r>
    </w:p>
    <w:p>
      <w:pPr>
        <w:pStyle w:val="ListBullet"/>
        <w:spacing w:after="40"/>
      </w:pPr>
      <w:r>
        <w:t>PostgreSQL supports robust indexing and JSONB for source/import metadata without turning the entire system into unstructured documents.</w:t>
      </w:r>
    </w:p>
    <w:p>
      <w:pPr>
        <w:pStyle w:val="ListBullet"/>
        <w:spacing w:after="40"/>
      </w:pPr>
      <w:r>
        <w:t>If Turner has an enterprise MySQL standard, MySQL is still a sound target; the architecture below remains substantially the same.</w:t>
      </w:r>
    </w:p>
    <w:p>
      <w:pPr>
        <w:pStyle w:val="Heading1"/>
      </w:pPr>
      <w:r>
        <w:t>5. Proposed Target Architecture</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Google Workspace User</w:t>
              <w:br/>
              <w:t xml:space="preserve">        |</w:t>
              <w:br/>
              <w:t xml:space="preserve">        v</w:t>
              <w:br/>
              <w:t>Identity-Aware Proxy (Google identity)</w:t>
              <w:br/>
              <w:t xml:space="preserve">        |</w:t>
              <w:br/>
              <w:t xml:space="preserve">        v</w:t>
              <w:br/>
              <w:t>Cloud Run Web Application</w:t>
              <w:br/>
              <w:t xml:space="preserve">  - Next.js / TypeScript (recommended implementation option)</w:t>
              <w:br/>
              <w:t xml:space="preserve">  - server-side authorization</w:t>
              <w:br/>
              <w:t xml:space="preserve">  - REST / server actions</w:t>
              <w:br/>
              <w:t xml:space="preserve">  - idempotency keys</w:t>
              <w:br/>
              <w:t xml:space="preserve">        |</w:t>
              <w:br/>
              <w:t xml:space="preserve">        +-----------------------+-------------------------+</w:t>
              <w:br/>
              <w:t xml:space="preserve">        |                       |                         |</w:t>
              <w:br/>
              <w:t xml:space="preserve">        v                       v                         v</w:t>
              <w:br/>
              <w:t>Cloud SQL PostgreSQL      Cloud Storage             Cloud Tasks</w:t>
              <w:br/>
              <w:t>transactional DB          imports / exports          async import work</w:t>
              <w:br/>
              <w:t xml:space="preserve">        |                       |                         |</w:t>
              <w:br/>
              <w:t xml:space="preserve">        +-----------+-----------+-------------------------+</w:t>
              <w:br/>
              <w:t xml:space="preserve">                    |</w:t>
              <w:br/>
              <w:t xml:space="preserve">                    v</w:t>
              <w:br/>
              <w:t>Cloud Logging / Monitoring / Error Reporting</w:t>
              <w:br/>
              <w:t>Cloud Scheduler (health, exports, housekeeping)</w:t>
              <w:br/>
              <w:t>Secret Manager</w:t>
              <w:br/>
              <w:t>GitHub + Cloud Build / GitHub Actions</w:t>
              <w:br/>
              <w:t>Infrastructure as Code (Terraform)</w:t>
              <w:br/>
            </w:r>
          </w:p>
        </w:tc>
      </w:tr>
    </w:tbl>
    <w:p>
      <w:pPr>
        <w:pStyle w:val="Heading1"/>
      </w:pPr>
      <w:r>
        <w:t>6. Google Cloud Project / Environment Model</w:t>
      </w:r>
    </w:p>
    <w:p>
      <w:r>
        <w:t>Use Google Cloud projects as infrastructure/security boundaries, not as construction-project records.</w:t>
      </w:r>
    </w:p>
    <w:tbl>
      <w:tblPr>
        <w:tblStyle w:val="TableGrid"/>
        <w:tblW w:type="auto" w:w="0"/>
        <w:jc w:val="center"/>
        <w:tblLook w:firstColumn="1" w:firstRow="1" w:lastColumn="0" w:lastRow="0" w:noHBand="0" w:noVBand="1" w:val="04A0"/>
      </w:tblPr>
      <w:tblGrid>
        <w:gridCol w:w="5083"/>
        <w:gridCol w:w="5083"/>
      </w:tblGrid>
      <w:tr>
        <w:tc>
          <w:tcPr>
            <w:tcW w:type="dxa" w:w="2448"/>
            <w:shd w:fill="17365D"/>
            <w:tcMar>
              <w:top w:w="80" w:type="dxa"/>
              <w:start w:w="90" w:type="dxa"/>
              <w:bottom w:w="80" w:type="dxa"/>
              <w:end w:w="90" w:type="dxa"/>
            </w:tcMar>
          </w:tcPr>
          <w:p>
            <w:r>
              <w:rPr>
                <w:b/>
                <w:color w:val="FFFFFF"/>
                <w:sz w:val="17"/>
              </w:rPr>
              <w:t>Layer</w:t>
            </w:r>
          </w:p>
        </w:tc>
        <w:tc>
          <w:tcPr>
            <w:tcW w:type="dxa" w:w="7632"/>
            <w:shd w:fill="17365D"/>
            <w:tcMar>
              <w:top w:w="80" w:type="dxa"/>
              <w:start w:w="90" w:type="dxa"/>
              <w:bottom w:w="80" w:type="dxa"/>
              <w:end w:w="90" w:type="dxa"/>
            </w:tcMar>
          </w:tcPr>
          <w:p>
            <w:r>
              <w:rPr>
                <w:b/>
                <w:color w:val="FFFFFF"/>
                <w:sz w:val="17"/>
              </w:rPr>
              <w:t>Recommended model</w:t>
            </w:r>
          </w:p>
        </w:tc>
      </w:tr>
      <w:tr>
        <w:tc>
          <w:tcPr>
            <w:tcW w:type="dxa" w:w="2448"/>
            <w:tcMar>
              <w:top w:w="80" w:type="dxa"/>
              <w:start w:w="90" w:type="dxa"/>
              <w:bottom w:w="80" w:type="dxa"/>
              <w:end w:w="90" w:type="dxa"/>
            </w:tcMar>
            <w:vAlign w:val="top"/>
          </w:tcPr>
          <w:p>
            <w:r>
              <w:rPr>
                <w:sz w:val="17"/>
              </w:rPr>
              <w:t>Cloud environment</w:t>
            </w:r>
          </w:p>
        </w:tc>
        <w:tc>
          <w:tcPr>
            <w:tcW w:type="dxa" w:w="7632"/>
            <w:tcMar>
              <w:top w:w="80" w:type="dxa"/>
              <w:start w:w="90" w:type="dxa"/>
              <w:bottom w:w="80" w:type="dxa"/>
              <w:end w:w="90" w:type="dxa"/>
            </w:tcMar>
            <w:vAlign w:val="top"/>
          </w:tcPr>
          <w:p>
            <w:r>
              <w:rPr>
                <w:sz w:val="17"/>
              </w:rPr>
              <w:t>Separate GCP projects for DEV, STAGING, and PROD (for example fmr-platform-dev, fmr-platform-stage, fmr-platform-prod).</w:t>
            </w:r>
          </w:p>
        </w:tc>
      </w:tr>
      <w:tr>
        <w:tc>
          <w:tcPr>
            <w:tcW w:type="dxa" w:w="2448"/>
            <w:tcMar>
              <w:top w:w="80" w:type="dxa"/>
              <w:start w:w="90" w:type="dxa"/>
              <w:bottom w:w="80" w:type="dxa"/>
              <w:end w:w="90" w:type="dxa"/>
            </w:tcMar>
            <w:vAlign w:val="top"/>
          </w:tcPr>
          <w:p>
            <w:r>
              <w:rPr>
                <w:sz w:val="17"/>
              </w:rPr>
              <w:t>Construction project / site</w:t>
            </w:r>
          </w:p>
        </w:tc>
        <w:tc>
          <w:tcPr>
            <w:tcW w:type="dxa" w:w="7632"/>
            <w:tcMar>
              <w:top w:w="80" w:type="dxa"/>
              <w:start w:w="90" w:type="dxa"/>
              <w:bottom w:w="80" w:type="dxa"/>
              <w:end w:w="90" w:type="dxa"/>
            </w:tcMar>
            <w:vAlign w:val="top"/>
          </w:tcPr>
          <w:p>
            <w:r>
              <w:rPr>
                <w:sz w:val="17"/>
              </w:rPr>
              <w:t>Logical tenant row in the application database, e.g., Lilly Lebanon, future refinery project, etc.</w:t>
            </w:r>
          </w:p>
        </w:tc>
      </w:tr>
      <w:tr>
        <w:tc>
          <w:tcPr>
            <w:tcW w:type="dxa" w:w="2448"/>
            <w:tcMar>
              <w:top w:w="80" w:type="dxa"/>
              <w:start w:w="90" w:type="dxa"/>
              <w:bottom w:w="80" w:type="dxa"/>
              <w:end w:w="90" w:type="dxa"/>
            </w:tcMar>
            <w:vAlign w:val="top"/>
          </w:tcPr>
          <w:p>
            <w:r>
              <w:rPr>
                <w:sz w:val="17"/>
              </w:rPr>
              <w:t>Data isolation</w:t>
            </w:r>
          </w:p>
        </w:tc>
        <w:tc>
          <w:tcPr>
            <w:tcW w:type="dxa" w:w="7632"/>
            <w:tcMar>
              <w:top w:w="80" w:type="dxa"/>
              <w:start w:w="90" w:type="dxa"/>
              <w:bottom w:w="80" w:type="dxa"/>
              <w:end w:w="90" w:type="dxa"/>
            </w:tcMar>
            <w:vAlign w:val="top"/>
          </w:tcPr>
          <w:p>
            <w:r>
              <w:rPr>
                <w:sz w:val="17"/>
              </w:rPr>
              <w:t>Every domain table carries project_id; unique keys and indexes include project_id.</w:t>
            </w:r>
          </w:p>
        </w:tc>
      </w:tr>
      <w:tr>
        <w:tc>
          <w:tcPr>
            <w:tcW w:type="dxa" w:w="2448"/>
            <w:tcMar>
              <w:top w:w="80" w:type="dxa"/>
              <w:start w:w="90" w:type="dxa"/>
              <w:bottom w:w="80" w:type="dxa"/>
              <w:end w:w="90" w:type="dxa"/>
            </w:tcMar>
            <w:vAlign w:val="top"/>
          </w:tcPr>
          <w:p>
            <w:r>
              <w:rPr>
                <w:sz w:val="17"/>
              </w:rPr>
              <w:t>Stronger isolation option</w:t>
            </w:r>
          </w:p>
        </w:tc>
        <w:tc>
          <w:tcPr>
            <w:tcW w:type="dxa" w:w="7632"/>
            <w:tcMar>
              <w:top w:w="80" w:type="dxa"/>
              <w:start w:w="90" w:type="dxa"/>
              <w:bottom w:w="80" w:type="dxa"/>
              <w:end w:w="90" w:type="dxa"/>
            </w:tcMar>
            <w:vAlign w:val="top"/>
          </w:tcPr>
          <w:p>
            <w:r>
              <w:rPr>
                <w:sz w:val="17"/>
              </w:rPr>
              <w:t>For clients/projects with stricter requirements, provision a dedicated database/schema or dedicated Cloud SQL instance using the same application code.</w:t>
            </w:r>
          </w:p>
        </w:tc>
      </w:tr>
      <w:tr>
        <w:tc>
          <w:tcPr>
            <w:tcW w:type="dxa" w:w="2448"/>
            <w:tcMar>
              <w:top w:w="80" w:type="dxa"/>
              <w:start w:w="90" w:type="dxa"/>
              <w:bottom w:w="80" w:type="dxa"/>
              <w:end w:w="90" w:type="dxa"/>
            </w:tcMar>
            <w:vAlign w:val="top"/>
          </w:tcPr>
          <w:p>
            <w:r>
              <w:rPr>
                <w:sz w:val="17"/>
              </w:rPr>
              <w:t>Configuration</w:t>
            </w:r>
          </w:p>
        </w:tc>
        <w:tc>
          <w:tcPr>
            <w:tcW w:type="dxa" w:w="7632"/>
            <w:tcMar>
              <w:top w:w="80" w:type="dxa"/>
              <w:start w:w="90" w:type="dxa"/>
              <w:bottom w:w="80" w:type="dxa"/>
              <w:end w:w="90" w:type="dxa"/>
            </w:tcMar>
            <w:vAlign w:val="top"/>
          </w:tcPr>
          <w:p>
            <w:r>
              <w:rPr>
                <w:sz w:val="17"/>
              </w:rPr>
              <w:t>Move project-specific defaults, crafts, tag prefixes, permissions, and parser profiles into database configuration tables.</w:t>
            </w:r>
          </w:p>
        </w:tc>
      </w:tr>
    </w:tbl>
    <w:p>
      <w:pPr>
        <w:pStyle w:val="Heading1"/>
      </w:pPr>
      <w:r>
        <w:t>7. Target Relational Schema</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7365D"/>
            <w:tcMar>
              <w:top w:w="80" w:type="dxa"/>
              <w:start w:w="90" w:type="dxa"/>
              <w:bottom w:w="80" w:type="dxa"/>
              <w:end w:w="90" w:type="dxa"/>
            </w:tcMar>
          </w:tcPr>
          <w:p>
            <w:r>
              <w:rPr>
                <w:b/>
                <w:color w:val="FFFFFF"/>
                <w:sz w:val="17"/>
              </w:rPr>
              <w:t>Target table</w:t>
            </w:r>
          </w:p>
        </w:tc>
        <w:tc>
          <w:tcPr>
            <w:tcW w:type="dxa" w:w="2880"/>
            <w:shd w:fill="17365D"/>
            <w:tcMar>
              <w:top w:w="80" w:type="dxa"/>
              <w:start w:w="90" w:type="dxa"/>
              <w:bottom w:w="80" w:type="dxa"/>
              <w:end w:w="90" w:type="dxa"/>
            </w:tcMar>
          </w:tcPr>
          <w:p>
            <w:r>
              <w:rPr>
                <w:b/>
                <w:color w:val="FFFFFF"/>
                <w:sz w:val="17"/>
              </w:rPr>
              <w:t>Source today</w:t>
            </w:r>
          </w:p>
        </w:tc>
        <w:tc>
          <w:tcPr>
            <w:tcW w:type="dxa" w:w="4464"/>
            <w:shd w:fill="17365D"/>
            <w:tcMar>
              <w:top w:w="80" w:type="dxa"/>
              <w:start w:w="90" w:type="dxa"/>
              <w:bottom w:w="80" w:type="dxa"/>
              <w:end w:w="90" w:type="dxa"/>
            </w:tcMar>
          </w:tcPr>
          <w:p>
            <w:r>
              <w:rPr>
                <w:b/>
                <w:color w:val="FFFFFF"/>
                <w:sz w:val="17"/>
              </w:rPr>
              <w:t>Key design change</w:t>
            </w:r>
          </w:p>
        </w:tc>
      </w:tr>
      <w:tr>
        <w:tc>
          <w:tcPr>
            <w:tcW w:type="dxa" w:w="2880"/>
            <w:tcMar>
              <w:top w:w="80" w:type="dxa"/>
              <w:start w:w="90" w:type="dxa"/>
              <w:bottom w:w="80" w:type="dxa"/>
              <w:end w:w="90" w:type="dxa"/>
            </w:tcMar>
            <w:vAlign w:val="top"/>
          </w:tcPr>
          <w:p>
            <w:r>
              <w:rPr>
                <w:sz w:val="17"/>
              </w:rPr>
              <w:t>projects</w:t>
            </w:r>
          </w:p>
        </w:tc>
        <w:tc>
          <w:tcPr>
            <w:tcW w:type="dxa" w:w="2880"/>
            <w:tcMar>
              <w:top w:w="80" w:type="dxa"/>
              <w:start w:w="90" w:type="dxa"/>
              <w:bottom w:w="80" w:type="dxa"/>
              <w:end w:w="90" w:type="dxa"/>
            </w:tcMar>
            <w:vAlign w:val="top"/>
          </w:tcPr>
          <w:p>
            <w:r>
              <w:rPr>
                <w:sz w:val="17"/>
              </w:rPr>
              <w:t>Configuration + implicit workbook identity</w:t>
            </w:r>
          </w:p>
        </w:tc>
        <w:tc>
          <w:tcPr>
            <w:tcW w:type="dxa" w:w="4464"/>
            <w:tcMar>
              <w:top w:w="80" w:type="dxa"/>
              <w:start w:w="90" w:type="dxa"/>
              <w:bottom w:w="80" w:type="dxa"/>
              <w:end w:w="90" w:type="dxa"/>
            </w:tcMar>
            <w:vAlign w:val="top"/>
          </w:tcPr>
          <w:p>
            <w:r>
              <w:rPr>
                <w:sz w:val="17"/>
              </w:rPr>
              <w:t>First-class tenant/project identifier and project settings.</w:t>
            </w:r>
          </w:p>
        </w:tc>
      </w:tr>
      <w:tr>
        <w:tc>
          <w:tcPr>
            <w:tcW w:type="dxa" w:w="2880"/>
            <w:tcMar>
              <w:top w:w="80" w:type="dxa"/>
              <w:start w:w="90" w:type="dxa"/>
              <w:bottom w:w="80" w:type="dxa"/>
              <w:end w:w="90" w:type="dxa"/>
            </w:tcMar>
            <w:vAlign w:val="top"/>
          </w:tcPr>
          <w:p>
            <w:r>
              <w:rPr>
                <w:sz w:val="17"/>
              </w:rPr>
              <w:t>users</w:t>
            </w:r>
          </w:p>
        </w:tc>
        <w:tc>
          <w:tcPr>
            <w:tcW w:type="dxa" w:w="2880"/>
            <w:tcMar>
              <w:top w:w="80" w:type="dxa"/>
              <w:start w:w="90" w:type="dxa"/>
              <w:bottom w:w="80" w:type="dxa"/>
              <w:end w:w="90" w:type="dxa"/>
            </w:tcMar>
            <w:vAlign w:val="top"/>
          </w:tcPr>
          <w:p>
            <w:r>
              <w:rPr>
                <w:sz w:val="17"/>
              </w:rPr>
              <w:t>Users</w:t>
            </w:r>
          </w:p>
        </w:tc>
        <w:tc>
          <w:tcPr>
            <w:tcW w:type="dxa" w:w="4464"/>
            <w:tcMar>
              <w:top w:w="80" w:type="dxa"/>
              <w:start w:w="90" w:type="dxa"/>
              <w:bottom w:w="80" w:type="dxa"/>
              <w:end w:w="90" w:type="dxa"/>
            </w:tcMar>
            <w:vAlign w:val="top"/>
          </w:tcPr>
          <w:p>
            <w:r>
              <w:rPr>
                <w:sz w:val="17"/>
              </w:rPr>
              <w:t>Global identity record.</w:t>
            </w:r>
          </w:p>
        </w:tc>
      </w:tr>
      <w:tr>
        <w:tc>
          <w:tcPr>
            <w:tcW w:type="dxa" w:w="2880"/>
            <w:tcMar>
              <w:top w:w="80" w:type="dxa"/>
              <w:start w:w="90" w:type="dxa"/>
              <w:bottom w:w="80" w:type="dxa"/>
              <w:end w:w="90" w:type="dxa"/>
            </w:tcMar>
            <w:vAlign w:val="top"/>
          </w:tcPr>
          <w:p>
            <w:r>
              <w:rPr>
                <w:sz w:val="17"/>
              </w:rPr>
              <w:t>project_memberships</w:t>
            </w:r>
          </w:p>
        </w:tc>
        <w:tc>
          <w:tcPr>
            <w:tcW w:type="dxa" w:w="2880"/>
            <w:tcMar>
              <w:top w:w="80" w:type="dxa"/>
              <w:start w:w="90" w:type="dxa"/>
              <w:bottom w:w="80" w:type="dxa"/>
              <w:end w:w="90" w:type="dxa"/>
            </w:tcMar>
            <w:vAlign w:val="top"/>
          </w:tcPr>
          <w:p>
            <w:r>
              <w:rPr>
                <w:sz w:val="17"/>
              </w:rPr>
              <w:t>Users role columns</w:t>
            </w:r>
          </w:p>
        </w:tc>
        <w:tc>
          <w:tcPr>
            <w:tcW w:type="dxa" w:w="4464"/>
            <w:tcMar>
              <w:top w:w="80" w:type="dxa"/>
              <w:start w:w="90" w:type="dxa"/>
              <w:bottom w:w="80" w:type="dxa"/>
              <w:end w:w="90" w:type="dxa"/>
            </w:tcMar>
            <w:vAlign w:val="top"/>
          </w:tcPr>
          <w:p>
            <w:r>
              <w:rPr>
                <w:sz w:val="17"/>
              </w:rPr>
              <w:t>Per-project role / capability mapping.</w:t>
            </w:r>
          </w:p>
        </w:tc>
      </w:tr>
      <w:tr>
        <w:tc>
          <w:tcPr>
            <w:tcW w:type="dxa" w:w="2880"/>
            <w:tcMar>
              <w:top w:w="80" w:type="dxa"/>
              <w:start w:w="90" w:type="dxa"/>
              <w:bottom w:w="80" w:type="dxa"/>
              <w:end w:w="90" w:type="dxa"/>
            </w:tcMar>
            <w:vAlign w:val="top"/>
          </w:tcPr>
          <w:p>
            <w:r>
              <w:rPr>
                <w:sz w:val="17"/>
              </w:rPr>
              <w:t>fmrs</w:t>
            </w:r>
          </w:p>
        </w:tc>
        <w:tc>
          <w:tcPr>
            <w:tcW w:type="dxa" w:w="2880"/>
            <w:tcMar>
              <w:top w:w="80" w:type="dxa"/>
              <w:start w:w="90" w:type="dxa"/>
              <w:bottom w:w="80" w:type="dxa"/>
              <w:end w:w="90" w:type="dxa"/>
            </w:tcMar>
            <w:vAlign w:val="top"/>
          </w:tcPr>
          <w:p>
            <w:r>
              <w:rPr>
                <w:sz w:val="17"/>
              </w:rPr>
              <w:t>FMR_Header</w:t>
            </w:r>
          </w:p>
        </w:tc>
        <w:tc>
          <w:tcPr>
            <w:tcW w:type="dxa" w:w="4464"/>
            <w:tcMar>
              <w:top w:w="80" w:type="dxa"/>
              <w:start w:w="90" w:type="dxa"/>
              <w:bottom w:w="80" w:type="dxa"/>
              <w:end w:w="90" w:type="dxa"/>
            </w:tcMar>
            <w:vAlign w:val="top"/>
          </w:tcPr>
          <w:p>
            <w:r>
              <w:rPr>
                <w:sz w:val="17"/>
              </w:rPr>
              <w:t>UNIQUE(project_id, fmr_number); stable UUID primary key.</w:t>
            </w:r>
          </w:p>
        </w:tc>
      </w:tr>
      <w:tr>
        <w:tc>
          <w:tcPr>
            <w:tcW w:type="dxa" w:w="2880"/>
            <w:tcMar>
              <w:top w:w="80" w:type="dxa"/>
              <w:start w:w="90" w:type="dxa"/>
              <w:bottom w:w="80" w:type="dxa"/>
              <w:end w:w="90" w:type="dxa"/>
            </w:tcMar>
            <w:vAlign w:val="top"/>
          </w:tcPr>
          <w:p>
            <w:r>
              <w:rPr>
                <w:sz w:val="17"/>
              </w:rPr>
              <w:t>fmr_lines</w:t>
            </w:r>
          </w:p>
        </w:tc>
        <w:tc>
          <w:tcPr>
            <w:tcW w:type="dxa" w:w="2880"/>
            <w:tcMar>
              <w:top w:w="80" w:type="dxa"/>
              <w:start w:w="90" w:type="dxa"/>
              <w:bottom w:w="80" w:type="dxa"/>
              <w:end w:w="90" w:type="dxa"/>
            </w:tcMar>
            <w:vAlign w:val="top"/>
          </w:tcPr>
          <w:p>
            <w:r>
              <w:rPr>
                <w:sz w:val="17"/>
              </w:rPr>
              <w:t>FMR_Line_Items</w:t>
            </w:r>
          </w:p>
        </w:tc>
        <w:tc>
          <w:tcPr>
            <w:tcW w:type="dxa" w:w="4464"/>
            <w:tcMar>
              <w:top w:w="80" w:type="dxa"/>
              <w:start w:w="90" w:type="dxa"/>
              <w:bottom w:w="80" w:type="dxa"/>
              <w:end w:w="90" w:type="dxa"/>
            </w:tcMar>
            <w:vAlign w:val="top"/>
          </w:tcPr>
          <w:p>
            <w:r>
              <w:rPr>
                <w:sz w:val="17"/>
              </w:rPr>
              <w:t>FK to fmr; constraints on quantities and line identity.</w:t>
            </w:r>
          </w:p>
        </w:tc>
      </w:tr>
      <w:tr>
        <w:tc>
          <w:tcPr>
            <w:tcW w:type="dxa" w:w="2880"/>
            <w:tcMar>
              <w:top w:w="80" w:type="dxa"/>
              <w:start w:w="90" w:type="dxa"/>
              <w:bottom w:w="80" w:type="dxa"/>
              <w:end w:w="90" w:type="dxa"/>
            </w:tcMar>
            <w:vAlign w:val="top"/>
          </w:tcPr>
          <w:p>
            <w:r>
              <w:rPr>
                <w:sz w:val="17"/>
              </w:rPr>
              <w:t>material_transactions</w:t>
            </w:r>
          </w:p>
        </w:tc>
        <w:tc>
          <w:tcPr>
            <w:tcW w:type="dxa" w:w="2880"/>
            <w:tcMar>
              <w:top w:w="80" w:type="dxa"/>
              <w:start w:w="90" w:type="dxa"/>
              <w:bottom w:w="80" w:type="dxa"/>
              <w:end w:w="90" w:type="dxa"/>
            </w:tcMar>
            <w:vAlign w:val="top"/>
          </w:tcPr>
          <w:p>
            <w:r>
              <w:rPr>
                <w:sz w:val="17"/>
              </w:rPr>
              <w:t>Material_Transactions</w:t>
            </w:r>
          </w:p>
        </w:tc>
        <w:tc>
          <w:tcPr>
            <w:tcW w:type="dxa" w:w="4464"/>
            <w:tcMar>
              <w:top w:w="80" w:type="dxa"/>
              <w:start w:w="90" w:type="dxa"/>
              <w:bottom w:w="80" w:type="dxa"/>
              <w:end w:w="90" w:type="dxa"/>
            </w:tcMar>
            <w:vAlign w:val="top"/>
          </w:tcPr>
          <w:p>
            <w:r>
              <w:rPr>
                <w:sz w:val="17"/>
              </w:rPr>
              <w:t>Append-only ledger; idempotency key; immutable after insert.</w:t>
            </w:r>
          </w:p>
        </w:tc>
      </w:tr>
      <w:tr>
        <w:tc>
          <w:tcPr>
            <w:tcW w:type="dxa" w:w="2880"/>
            <w:tcMar>
              <w:top w:w="80" w:type="dxa"/>
              <w:start w:w="90" w:type="dxa"/>
              <w:bottom w:w="80" w:type="dxa"/>
              <w:end w:w="90" w:type="dxa"/>
            </w:tcMar>
            <w:vAlign w:val="top"/>
          </w:tcPr>
          <w:p>
            <w:r>
              <w:rPr>
                <w:sz w:val="17"/>
              </w:rPr>
              <w:t>bag_tags / bag_tag_items</w:t>
            </w:r>
          </w:p>
        </w:tc>
        <w:tc>
          <w:tcPr>
            <w:tcW w:type="dxa" w:w="2880"/>
            <w:tcMar>
              <w:top w:w="80" w:type="dxa"/>
              <w:start w:w="90" w:type="dxa"/>
              <w:bottom w:w="80" w:type="dxa"/>
              <w:end w:w="90" w:type="dxa"/>
            </w:tcMar>
            <w:vAlign w:val="top"/>
          </w:tcPr>
          <w:p>
            <w:r>
              <w:rPr>
                <w:sz w:val="17"/>
              </w:rPr>
              <w:t>Bag_Tag_*</w:t>
            </w:r>
          </w:p>
        </w:tc>
        <w:tc>
          <w:tcPr>
            <w:tcW w:type="dxa" w:w="4464"/>
            <w:tcMar>
              <w:top w:w="80" w:type="dxa"/>
              <w:start w:w="90" w:type="dxa"/>
              <w:bottom w:w="80" w:type="dxa"/>
              <w:end w:w="90" w:type="dxa"/>
            </w:tcMar>
            <w:vAlign w:val="top"/>
          </w:tcPr>
          <w:p>
            <w:r>
              <w:rPr>
                <w:sz w:val="17"/>
              </w:rPr>
              <w:t>FKs and transactional issue/reservation updates.</w:t>
            </w:r>
          </w:p>
        </w:tc>
      </w:tr>
      <w:tr>
        <w:tc>
          <w:tcPr>
            <w:tcW w:type="dxa" w:w="2880"/>
            <w:tcMar>
              <w:top w:w="80" w:type="dxa"/>
              <w:start w:w="90" w:type="dxa"/>
              <w:bottom w:w="80" w:type="dxa"/>
              <w:end w:w="90" w:type="dxa"/>
            </w:tcMar>
            <w:vAlign w:val="top"/>
          </w:tcPr>
          <w:p>
            <w:r>
              <w:rPr>
                <w:sz w:val="17"/>
              </w:rPr>
              <w:t>backorder_requests</w:t>
            </w:r>
          </w:p>
        </w:tc>
        <w:tc>
          <w:tcPr>
            <w:tcW w:type="dxa" w:w="2880"/>
            <w:tcMar>
              <w:top w:w="80" w:type="dxa"/>
              <w:start w:w="90" w:type="dxa"/>
              <w:bottom w:w="80" w:type="dxa"/>
              <w:end w:w="90" w:type="dxa"/>
            </w:tcMar>
            <w:vAlign w:val="top"/>
          </w:tcPr>
          <w:p>
            <w:r>
              <w:rPr>
                <w:sz w:val="17"/>
              </w:rPr>
              <w:t>Backorder_Requests</w:t>
            </w:r>
          </w:p>
        </w:tc>
        <w:tc>
          <w:tcPr>
            <w:tcW w:type="dxa" w:w="4464"/>
            <w:tcMar>
              <w:top w:w="80" w:type="dxa"/>
              <w:start w:w="90" w:type="dxa"/>
              <w:bottom w:w="80" w:type="dxa"/>
              <w:end w:w="90" w:type="dxa"/>
            </w:tcMar>
            <w:vAlign w:val="top"/>
          </w:tcPr>
          <w:p>
            <w:r>
              <w:rPr>
                <w:sz w:val="17"/>
              </w:rPr>
              <w:t>Explicit status enum/checks; request/decision timestamps.</w:t>
            </w:r>
          </w:p>
        </w:tc>
      </w:tr>
      <w:tr>
        <w:tc>
          <w:tcPr>
            <w:tcW w:type="dxa" w:w="2880"/>
            <w:tcMar>
              <w:top w:w="80" w:type="dxa"/>
              <w:start w:w="90" w:type="dxa"/>
              <w:bottom w:w="80" w:type="dxa"/>
              <w:end w:w="90" w:type="dxa"/>
            </w:tcMar>
            <w:vAlign w:val="top"/>
          </w:tcPr>
          <w:p>
            <w:r>
              <w:rPr>
                <w:sz w:val="17"/>
              </w:rPr>
              <w:t>audit_events</w:t>
            </w:r>
          </w:p>
        </w:tc>
        <w:tc>
          <w:tcPr>
            <w:tcW w:type="dxa" w:w="2880"/>
            <w:tcMar>
              <w:top w:w="80" w:type="dxa"/>
              <w:start w:w="90" w:type="dxa"/>
              <w:bottom w:w="80" w:type="dxa"/>
              <w:end w:w="90" w:type="dxa"/>
            </w:tcMar>
            <w:vAlign w:val="top"/>
          </w:tcPr>
          <w:p>
            <w:r>
              <w:rPr>
                <w:sz w:val="17"/>
              </w:rPr>
              <w:t>Audit_Log</w:t>
            </w:r>
          </w:p>
        </w:tc>
        <w:tc>
          <w:tcPr>
            <w:tcW w:type="dxa" w:w="4464"/>
            <w:tcMar>
              <w:top w:w="80" w:type="dxa"/>
              <w:start w:w="90" w:type="dxa"/>
              <w:bottom w:w="80" w:type="dxa"/>
              <w:end w:w="90" w:type="dxa"/>
            </w:tcMar>
            <w:vAlign w:val="top"/>
          </w:tcPr>
          <w:p>
            <w:r>
              <w:rPr>
                <w:sz w:val="17"/>
              </w:rPr>
              <w:t>Append-only structured audit; actor and correlation ID.</w:t>
            </w:r>
          </w:p>
        </w:tc>
      </w:tr>
      <w:tr>
        <w:tc>
          <w:tcPr>
            <w:tcW w:type="dxa" w:w="2880"/>
            <w:tcMar>
              <w:top w:w="80" w:type="dxa"/>
              <w:start w:w="90" w:type="dxa"/>
              <w:bottom w:w="80" w:type="dxa"/>
              <w:end w:w="90" w:type="dxa"/>
            </w:tcMar>
            <w:vAlign w:val="top"/>
          </w:tcPr>
          <w:p>
            <w:r>
              <w:rPr>
                <w:sz w:val="17"/>
              </w:rPr>
              <w:t>import_batches / items / lines / issues</w:t>
            </w:r>
          </w:p>
        </w:tc>
        <w:tc>
          <w:tcPr>
            <w:tcW w:type="dxa" w:w="2880"/>
            <w:tcMar>
              <w:top w:w="80" w:type="dxa"/>
              <w:start w:w="90" w:type="dxa"/>
              <w:bottom w:w="80" w:type="dxa"/>
              <w:end w:w="90" w:type="dxa"/>
            </w:tcMar>
            <w:vAlign w:val="top"/>
          </w:tcPr>
          <w:p>
            <w:r>
              <w:rPr>
                <w:sz w:val="17"/>
              </w:rPr>
              <w:t>Bulk_Import_*</w:t>
            </w:r>
          </w:p>
        </w:tc>
        <w:tc>
          <w:tcPr>
            <w:tcW w:type="dxa" w:w="4464"/>
            <w:tcMar>
              <w:top w:w="80" w:type="dxa"/>
              <w:start w:w="90" w:type="dxa"/>
              <w:bottom w:w="80" w:type="dxa"/>
              <w:end w:w="90" w:type="dxa"/>
            </w:tcMar>
            <w:vAlign w:val="top"/>
          </w:tcPr>
          <w:p>
            <w:r>
              <w:rPr>
                <w:sz w:val="17"/>
              </w:rPr>
              <w:t>Same staged parser model, but no row-number dependency.</w:t>
            </w:r>
          </w:p>
        </w:tc>
      </w:tr>
      <w:tr>
        <w:tc>
          <w:tcPr>
            <w:tcW w:type="dxa" w:w="2880"/>
            <w:tcMar>
              <w:top w:w="80" w:type="dxa"/>
              <w:start w:w="90" w:type="dxa"/>
              <w:bottom w:w="80" w:type="dxa"/>
              <w:end w:w="90" w:type="dxa"/>
            </w:tcMar>
            <w:vAlign w:val="top"/>
          </w:tcPr>
          <w:p>
            <w:r>
              <w:rPr>
                <w:sz w:val="17"/>
              </w:rPr>
              <w:t>staging_fmrs / staging_lines</w:t>
            </w:r>
          </w:p>
        </w:tc>
        <w:tc>
          <w:tcPr>
            <w:tcW w:type="dxa" w:w="2880"/>
            <w:tcMar>
              <w:top w:w="80" w:type="dxa"/>
              <w:start w:w="90" w:type="dxa"/>
              <w:bottom w:w="80" w:type="dxa"/>
              <w:end w:w="90" w:type="dxa"/>
            </w:tcMar>
            <w:vAlign w:val="top"/>
          </w:tcPr>
          <w:p>
            <w:r>
              <w:rPr>
                <w:sz w:val="17"/>
              </w:rPr>
              <w:t>Import_Staging_*</w:t>
            </w:r>
          </w:p>
        </w:tc>
        <w:tc>
          <w:tcPr>
            <w:tcW w:type="dxa" w:w="4464"/>
            <w:tcMar>
              <w:top w:w="80" w:type="dxa"/>
              <w:start w:w="90" w:type="dxa"/>
              <w:bottom w:w="80" w:type="dxa"/>
              <w:end w:w="90" w:type="dxa"/>
            </w:tcMar>
            <w:vAlign w:val="top"/>
          </w:tcPr>
          <w:p>
            <w:r>
              <w:rPr>
                <w:sz w:val="17"/>
              </w:rPr>
              <w:t>Review state before publish; SQL FK relationships.</w:t>
            </w:r>
          </w:p>
        </w:tc>
      </w:tr>
      <w:tr>
        <w:tc>
          <w:tcPr>
            <w:tcW w:type="dxa" w:w="2880"/>
            <w:tcMar>
              <w:top w:w="80" w:type="dxa"/>
              <w:start w:w="90" w:type="dxa"/>
              <w:bottom w:w="80" w:type="dxa"/>
              <w:end w:w="90" w:type="dxa"/>
            </w:tcMar>
            <w:vAlign w:val="top"/>
          </w:tcPr>
          <w:p>
            <w:r>
              <w:rPr>
                <w:sz w:val="17"/>
              </w:rPr>
              <w:t>recovery_actions</w:t>
            </w:r>
          </w:p>
        </w:tc>
        <w:tc>
          <w:tcPr>
            <w:tcW w:type="dxa" w:w="2880"/>
            <w:tcMar>
              <w:top w:w="80" w:type="dxa"/>
              <w:start w:w="90" w:type="dxa"/>
              <w:bottom w:w="80" w:type="dxa"/>
              <w:end w:w="90" w:type="dxa"/>
            </w:tcMar>
            <w:vAlign w:val="top"/>
          </w:tcPr>
          <w:p>
            <w:r>
              <w:rPr>
                <w:sz w:val="17"/>
              </w:rPr>
              <w:t>Recovery_Actions</w:t>
            </w:r>
          </w:p>
        </w:tc>
        <w:tc>
          <w:tcPr>
            <w:tcW w:type="dxa" w:w="4464"/>
            <w:tcMar>
              <w:top w:w="80" w:type="dxa"/>
              <w:start w:w="90" w:type="dxa"/>
              <w:bottom w:w="80" w:type="dxa"/>
              <w:end w:w="90" w:type="dxa"/>
            </w:tcMar>
            <w:vAlign w:val="top"/>
          </w:tcPr>
          <w:p>
            <w:r>
              <w:rPr>
                <w:sz w:val="17"/>
              </w:rPr>
              <w:t>Controlled recovery/audit workflow.</w:t>
            </w:r>
          </w:p>
        </w:tc>
      </w:tr>
    </w:tbl>
    <w:p>
      <w:pPr>
        <w:pStyle w:val="Heading1"/>
      </w:pPr>
      <w:r>
        <w:t>8. Replace Manual Index Sheets With Database Indexes</w:t>
      </w:r>
    </w:p>
    <w:p>
      <w:r>
        <w:t>Search_Index and Operational_Index are successful compensating patterns for Google Sheets. In PostgreSQL they should be replaced by native indexes and queries.</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Examples</w:t>
              <w:br/>
              <w:br/>
              <w:t>UNIQUE INDEX:</w:t>
              <w:br/>
              <w:t xml:space="preserve">  (project_id, upper(fmr_number))</w:t>
              <w:br/>
              <w:br/>
              <w:t>SEARCH INDEX:</w:t>
              <w:br/>
              <w:t xml:space="preserve">  (project_id, upper(iso_number), upper(iso_sheet))</w:t>
              <w:br/>
              <w:br/>
              <w:t>OPERATIONAL INDEXES:</w:t>
              <w:br/>
              <w:t xml:space="preserve">  partial index on backorder_requests where status in ('PENDING','RETURNED')</w:t>
              <w:br/>
              <w:t xml:space="preserve">  partial index on bag_tag_items where qty_remaining_in_bag &gt; 0</w:t>
              <w:br/>
              <w:t xml:space="preserve">  index on fmr_lines(project_id, qty_confirmed_backorder) where qty_confirmed_backorder &gt; 0</w:t>
              <w:br/>
            </w:r>
          </w:p>
        </w:tc>
      </w:tr>
    </w:tbl>
    <w:p>
      <w:pPr>
        <w:pStyle w:val="Heading1"/>
      </w:pPr>
      <w:r>
        <w:t>9. Transaction and Concurrency Model</w:t>
      </w:r>
    </w:p>
    <w:p>
      <w:r>
        <w:t>The biggest architectural gain from SQL is not faster searching; it is the ability to make ledger insertion and current-state mutation one atomic database transaction.</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BEGIN;</w:t>
              <w:br/>
              <w:br/>
              <w:t>SELECT fmr_line</w:t>
              <w:br/>
              <w:t xml:space="preserve">  FOR UPDATE;</w:t>
              <w:br/>
              <w:br/>
              <w:t>validate requested/remaining quantities;</w:t>
              <w:br/>
              <w:br/>
              <w:t>INSERT material_transactions (... idempotency_key ...);</w:t>
              <w:br/>
              <w:br/>
              <w:t>UPDATE fmr_lines</w:t>
              <w:br/>
              <w:t>SET qty_issued = ...,</w:t>
              <w:br/>
              <w:t xml:space="preserve">    qty_available = ...,</w:t>
              <w:br/>
              <w:t xml:space="preserve">    qty_remaining_requirement = ...,</w:t>
              <w:br/>
              <w:t xml:space="preserve">    version = version + 1;</w:t>
              <w:br/>
              <w:br/>
              <w:t>UPDATE fmrs</w:t>
              <w:br/>
              <w:t>SET aggregate totals / last_activity_at = ...;</w:t>
              <w:br/>
              <w:br/>
              <w:t>INSERT audit_events (...);</w:t>
              <w:br/>
              <w:br/>
              <w:t>COMMIT;</w:t>
              <w:br/>
            </w:r>
          </w:p>
        </w:tc>
      </w:tr>
    </w:tbl>
    <w:p>
      <w:pPr>
        <w:pStyle w:val="ListBullet"/>
        <w:spacing w:after="40"/>
      </w:pPr>
      <w:r>
        <w:t>Use row-level locks for conflicting mutations on the same material line.</w:t>
      </w:r>
    </w:p>
    <w:p>
      <w:pPr>
        <w:pStyle w:val="ListBullet"/>
        <w:spacing w:after="40"/>
      </w:pPr>
      <w:r>
        <w:t>Use an idempotency_key for every Field/Admin mutation so retrying a request cannot double-issue material.</w:t>
      </w:r>
    </w:p>
    <w:p>
      <w:pPr>
        <w:pStyle w:val="ListBullet"/>
        <w:spacing w:after="40"/>
      </w:pPr>
      <w:r>
        <w:t>Keep material_transactions append-only.</w:t>
      </w:r>
    </w:p>
    <w:p>
      <w:pPr>
        <w:pStyle w:val="ListBullet"/>
        <w:spacing w:after="40"/>
      </w:pPr>
      <w:r>
        <w:t>Either maintain current-state columns transactionally (recommended for fast UI) or derive them from the ledger in periodic reconciliation jobs.</w:t>
      </w:r>
    </w:p>
    <w:p>
      <w:pPr>
        <w:pStyle w:val="ListBullet"/>
        <w:spacing w:after="40"/>
      </w:pPr>
      <w:r>
        <w:t>Add a version column for optimistic concurrency where appropriate.</w:t>
      </w:r>
    </w:p>
    <w:p>
      <w:pPr>
        <w:pStyle w:val="Heading1"/>
      </w:pPr>
      <w:r>
        <w:t>10. Authentication and Authorization</w:t>
      </w:r>
    </w:p>
    <w:p>
      <w:r>
        <w:t>For an internal Google Workspace application, Identity-Aware Proxy (IAP) in front of Cloud Run is the cleanest target. IAP can restrict the application to approved Google Workspace users/groups; the application then maps the authenticated email to project memberships and roles.</w:t>
      </w:r>
    </w:p>
    <w:p>
      <w:pPr>
        <w:pStyle w:val="ListBullet"/>
        <w:spacing w:after="40"/>
      </w:pPr>
      <w:r>
        <w:t>Use Google Groups for broad access (e.g., FMR users) and database memberships for application-specific roles.</w:t>
      </w:r>
    </w:p>
    <w:p>
      <w:pPr>
        <w:pStyle w:val="ListBullet"/>
        <w:spacing w:after="40"/>
      </w:pPr>
      <w:r>
        <w:t>Keep System Owner / Material Admin / Field User capabilities server-side.</w:t>
      </w:r>
    </w:p>
    <w:p>
      <w:pPr>
        <w:pStyle w:val="ListBullet"/>
        <w:spacing w:after="40"/>
      </w:pPr>
      <w:r>
        <w:t>Do not require every user to have direct database access.</w:t>
      </w:r>
    </w:p>
    <w:p>
      <w:pPr>
        <w:pStyle w:val="ListBullet"/>
        <w:spacing w:after="40"/>
      </w:pPr>
      <w:r>
        <w:t>Store service credentials and non-public configuration in Secret Manager, not source code or spreadsheet cells.</w:t>
      </w:r>
    </w:p>
    <w:p>
      <w:pPr>
        <w:pStyle w:val="Heading1"/>
      </w:pPr>
      <w:r>
        <w:t>11. File Import and Historical Migration in the Cloud</w:t>
      </w:r>
    </w:p>
    <w:tbl>
      <w:tblPr>
        <w:tblW w:type="auto" w:w="0"/>
        <w:jc w:val="center"/>
        <w:tblLook w:firstColumn="1" w:firstRow="1" w:lastColumn="0" w:lastRow="0" w:noHBand="0" w:noVBand="1" w:val="04A0"/>
      </w:tblPr>
      <w:tblGrid>
        <w:gridCol w:w="10166"/>
      </w:tblGrid>
      <w:tr>
        <w:tc>
          <w:tcPr>
            <w:tcW w:type="dxa" w:w="10166"/>
            <w:shd w:fill="F7F7F7"/>
            <w:tcMar>
              <w:top w:w="90" w:type="dxa"/>
              <w:start w:w="100" w:type="dxa"/>
              <w:bottom w:w="90" w:type="dxa"/>
              <w:end w:w="100" w:type="dxa"/>
            </w:tcMar>
          </w:tcPr>
          <w:p>
            <w:pPr>
              <w:spacing w:after="0"/>
            </w:pPr>
            <w:r>
              <w:rPr>
                <w:rFonts w:ascii="Consolas" w:hAnsi="Consolas"/>
                <w:color w:val="1F1F1F"/>
                <w:sz w:val="16"/>
              </w:rPr>
              <w:t>User uploads XLSX</w:t>
              <w:br/>
              <w:t xml:space="preserve">    |</w:t>
              <w:br/>
              <w:t xml:space="preserve">    v</w:t>
              <w:br/>
              <w:t>Cloud Storage bucket</w:t>
              <w:br/>
              <w:t xml:space="preserve">    |</w:t>
              <w:br/>
              <w:t xml:space="preserve">    v</w:t>
              <w:br/>
              <w:t>Create import_batch row</w:t>
              <w:br/>
              <w:t xml:space="preserve">    |</w:t>
              <w:br/>
              <w:t xml:space="preserve">    v</w:t>
              <w:br/>
              <w:t>Cloud Tasks queue</w:t>
              <w:br/>
              <w:t xml:space="preserve">    |</w:t>
              <w:br/>
              <w:t xml:space="preserve">    v</w:t>
              <w:br/>
              <w:t>Cloud Run import worker</w:t>
              <w:br/>
              <w:t xml:space="preserve">  - parse workbook</w:t>
              <w:br/>
              <w:t xml:space="preserve">  - normalize sizes / LF quantities</w:t>
              <w:br/>
              <w:t xml:space="preserve">  - create import_items / import_lines / issues</w:t>
              <w:br/>
              <w:t xml:space="preserve">    |</w:t>
              <w:br/>
              <w:t xml:space="preserve">    v</w:t>
              <w:br/>
              <w:t>Review UI</w:t>
              <w:br/>
              <w:t xml:space="preserve">    |</w:t>
              <w:br/>
              <w:t xml:space="preserve">    v</w:t>
              <w:br/>
              <w:t>Transactional publish to fmrs / fmr_lines</w:t>
              <w:br/>
            </w:r>
          </w:p>
        </w:tc>
      </w:tr>
    </w:tbl>
    <w:p>
      <w:r>
        <w:t>This preserves the successful parser/staging/publish design while removing the Apps Script six-minute execution constraint from long-running migration workflows. Cloud Tasks provides retryable asynchronous work; the import UI can poll batch status rather than keeping an Owner browser tab open.</w:t>
      </w:r>
    </w:p>
    <w:p>
      <w:pPr>
        <w:pStyle w:val="Heading1"/>
      </w:pPr>
      <w:r>
        <w:t>12. Backup, Recovery, and Observability Target</w:t>
      </w:r>
    </w:p>
    <w:tbl>
      <w:tblPr>
        <w:tblStyle w:val="TableGrid"/>
        <w:tblW w:type="auto" w:w="0"/>
        <w:jc w:val="center"/>
        <w:tblLook w:firstColumn="1" w:firstRow="1" w:lastColumn="0" w:lastRow="0" w:noHBand="0" w:noVBand="1" w:val="04A0"/>
      </w:tblPr>
      <w:tblGrid>
        <w:gridCol w:w="5083"/>
        <w:gridCol w:w="5083"/>
      </w:tblGrid>
      <w:tr>
        <w:tc>
          <w:tcPr>
            <w:tcW w:type="dxa" w:w="3744"/>
            <w:shd w:fill="17365D"/>
            <w:tcMar>
              <w:top w:w="80" w:type="dxa"/>
              <w:start w:w="90" w:type="dxa"/>
              <w:bottom w:w="80" w:type="dxa"/>
              <w:end w:w="90" w:type="dxa"/>
            </w:tcMar>
          </w:tcPr>
          <w:p>
            <w:r>
              <w:rPr>
                <w:b/>
                <w:color w:val="FFFFFF"/>
                <w:sz w:val="17"/>
              </w:rPr>
              <w:t>Current</w:t>
            </w:r>
          </w:p>
        </w:tc>
        <w:tc>
          <w:tcPr>
            <w:tcW w:type="dxa" w:w="6624"/>
            <w:shd w:fill="17365D"/>
            <w:tcMar>
              <w:top w:w="80" w:type="dxa"/>
              <w:start w:w="90" w:type="dxa"/>
              <w:bottom w:w="80" w:type="dxa"/>
              <w:end w:w="90" w:type="dxa"/>
            </w:tcMar>
          </w:tcPr>
          <w:p>
            <w:r>
              <w:rPr>
                <w:b/>
                <w:color w:val="FFFFFF"/>
                <w:sz w:val="17"/>
              </w:rPr>
              <w:t>Target</w:t>
            </w:r>
          </w:p>
        </w:tc>
      </w:tr>
      <w:tr>
        <w:tc>
          <w:tcPr>
            <w:tcW w:type="dxa" w:w="3744"/>
            <w:tcMar>
              <w:top w:w="80" w:type="dxa"/>
              <w:start w:w="90" w:type="dxa"/>
              <w:bottom w:w="80" w:type="dxa"/>
              <w:end w:w="90" w:type="dxa"/>
            </w:tcMar>
            <w:vAlign w:val="top"/>
          </w:tcPr>
          <w:p>
            <w:r>
              <w:rPr>
                <w:sz w:val="17"/>
              </w:rPr>
              <w:t>Drive spreadsheet copies</w:t>
            </w:r>
          </w:p>
        </w:tc>
        <w:tc>
          <w:tcPr>
            <w:tcW w:type="dxa" w:w="6624"/>
            <w:tcMar>
              <w:top w:w="80" w:type="dxa"/>
              <w:start w:w="90" w:type="dxa"/>
              <w:bottom w:w="80" w:type="dxa"/>
              <w:end w:w="90" w:type="dxa"/>
            </w:tcMar>
            <w:vAlign w:val="top"/>
          </w:tcPr>
          <w:p>
            <w:r>
              <w:rPr>
                <w:sz w:val="17"/>
              </w:rPr>
              <w:t>Cloud SQL automated backups + point-in-time recovery; optional scheduled logical exports to Cloud Storage.</w:t>
            </w:r>
          </w:p>
        </w:tc>
      </w:tr>
      <w:tr>
        <w:tc>
          <w:tcPr>
            <w:tcW w:type="dxa" w:w="3744"/>
            <w:tcMar>
              <w:top w:w="80" w:type="dxa"/>
              <w:start w:w="90" w:type="dxa"/>
              <w:bottom w:w="80" w:type="dxa"/>
              <w:end w:w="90" w:type="dxa"/>
            </w:tcMar>
            <w:vAlign w:val="top"/>
          </w:tcPr>
          <w:p>
            <w:r>
              <w:rPr>
                <w:sz w:val="17"/>
              </w:rPr>
              <w:t>Manual backup history</w:t>
            </w:r>
          </w:p>
        </w:tc>
        <w:tc>
          <w:tcPr>
            <w:tcW w:type="dxa" w:w="6624"/>
            <w:tcMar>
              <w:top w:w="80" w:type="dxa"/>
              <w:start w:w="90" w:type="dxa"/>
              <w:bottom w:w="80" w:type="dxa"/>
              <w:end w:w="90" w:type="dxa"/>
            </w:tcMar>
            <w:vAlign w:val="top"/>
          </w:tcPr>
          <w:p>
            <w:r>
              <w:rPr>
                <w:sz w:val="17"/>
              </w:rPr>
              <w:t>Policy-driven automated backup configuration; restore drills documented and tested.</w:t>
            </w:r>
          </w:p>
        </w:tc>
      </w:tr>
      <w:tr>
        <w:tc>
          <w:tcPr>
            <w:tcW w:type="dxa" w:w="3744"/>
            <w:tcMar>
              <w:top w:w="80" w:type="dxa"/>
              <w:start w:w="90" w:type="dxa"/>
              <w:bottom w:w="80" w:type="dxa"/>
              <w:end w:w="90" w:type="dxa"/>
            </w:tcMar>
            <w:vAlign w:val="top"/>
          </w:tcPr>
          <w:p>
            <w:r>
              <w:rPr>
                <w:sz w:val="17"/>
              </w:rPr>
              <w:t>Operational_Health_Log sheet</w:t>
            </w:r>
          </w:p>
        </w:tc>
        <w:tc>
          <w:tcPr>
            <w:tcW w:type="dxa" w:w="6624"/>
            <w:tcMar>
              <w:top w:w="80" w:type="dxa"/>
              <w:start w:w="90" w:type="dxa"/>
              <w:bottom w:w="80" w:type="dxa"/>
              <w:end w:w="90" w:type="dxa"/>
            </w:tcMar>
            <w:vAlign w:val="top"/>
          </w:tcPr>
          <w:p>
            <w:r>
              <w:rPr>
                <w:sz w:val="17"/>
              </w:rPr>
              <w:t>Cloud Monitoring dashboards + application health endpoint + scheduled synthetic checks.</w:t>
            </w:r>
          </w:p>
        </w:tc>
      </w:tr>
      <w:tr>
        <w:tc>
          <w:tcPr>
            <w:tcW w:type="dxa" w:w="3744"/>
            <w:tcMar>
              <w:top w:w="80" w:type="dxa"/>
              <w:start w:w="90" w:type="dxa"/>
              <w:bottom w:w="80" w:type="dxa"/>
              <w:end w:w="90" w:type="dxa"/>
            </w:tcMar>
            <w:vAlign w:val="top"/>
          </w:tcPr>
          <w:p>
            <w:r>
              <w:rPr>
                <w:sz w:val="17"/>
              </w:rPr>
              <w:t>Stackdriver exception logging from Apps Script</w:t>
            </w:r>
          </w:p>
        </w:tc>
        <w:tc>
          <w:tcPr>
            <w:tcW w:type="dxa" w:w="6624"/>
            <w:tcMar>
              <w:top w:w="80" w:type="dxa"/>
              <w:start w:w="90" w:type="dxa"/>
              <w:bottom w:w="80" w:type="dxa"/>
              <w:end w:w="90" w:type="dxa"/>
            </w:tcMar>
            <w:vAlign w:val="top"/>
          </w:tcPr>
          <w:p>
            <w:r>
              <w:rPr>
                <w:sz w:val="17"/>
              </w:rPr>
              <w:t>Cloud Run request logs, structured application logs, Error Reporting, traces, alert policies.</w:t>
            </w:r>
          </w:p>
        </w:tc>
      </w:tr>
      <w:tr>
        <w:tc>
          <w:tcPr>
            <w:tcW w:type="dxa" w:w="3744"/>
            <w:tcMar>
              <w:top w:w="80" w:type="dxa"/>
              <w:start w:w="90" w:type="dxa"/>
              <w:bottom w:w="80" w:type="dxa"/>
              <w:end w:w="90" w:type="dxa"/>
            </w:tcMar>
            <w:vAlign w:val="top"/>
          </w:tcPr>
          <w:p>
            <w:r>
              <w:rPr>
                <w:sz w:val="17"/>
              </w:rPr>
              <w:t>Manual owner awareness</w:t>
            </w:r>
          </w:p>
        </w:tc>
        <w:tc>
          <w:tcPr>
            <w:tcW w:type="dxa" w:w="6624"/>
            <w:tcMar>
              <w:top w:w="80" w:type="dxa"/>
              <w:start w:w="90" w:type="dxa"/>
              <w:bottom w:w="80" w:type="dxa"/>
              <w:end w:w="90" w:type="dxa"/>
            </w:tcMar>
            <w:vAlign w:val="top"/>
          </w:tcPr>
          <w:p>
            <w:r>
              <w:rPr>
                <w:sz w:val="17"/>
              </w:rPr>
              <w:t>Alerting on 5xx rate, latency, failed imports, stale queues, failed scheduled jobs, backup age / database health.</w:t>
            </w:r>
          </w:p>
        </w:tc>
      </w:tr>
    </w:tbl>
    <w:p>
      <w:pPr>
        <w:pStyle w:val="Heading1"/>
      </w:pPr>
      <w:r>
        <w:t>13. CI/CD and Infrastructure as Code</w:t>
      </w:r>
    </w:p>
    <w:p>
      <w:pPr>
        <w:pStyle w:val="ListBullet"/>
        <w:spacing w:after="40"/>
      </w:pPr>
      <w:r>
        <w:t>GitHub remains the source of truth.</w:t>
      </w:r>
    </w:p>
    <w:p>
      <w:pPr>
        <w:pStyle w:val="ListBullet"/>
        <w:spacing w:after="40"/>
      </w:pPr>
      <w:r>
        <w:t>Use Terraform for Cloud SQL, Cloud Run, IAP/IAM, buckets, Secret Manager, Scheduler, and Tasks queues.</w:t>
      </w:r>
    </w:p>
    <w:p>
      <w:pPr>
        <w:pStyle w:val="ListBullet"/>
        <w:spacing w:after="40"/>
      </w:pPr>
      <w:r>
        <w:t>Every pull request runs linting, unit tests, database migration tests, parser fixtures, and integration tests.</w:t>
      </w:r>
    </w:p>
    <w:p>
      <w:pPr>
        <w:pStyle w:val="ListBullet"/>
        <w:spacing w:after="40"/>
      </w:pPr>
      <w:r>
        <w:t>Merge to main deploys DEV automatically; STAGING/PROD require approval gates.</w:t>
      </w:r>
    </w:p>
    <w:p>
      <w:pPr>
        <w:pStyle w:val="ListBullet"/>
        <w:spacing w:after="40"/>
      </w:pPr>
      <w:r>
        <w:t>Database schema changes are versioned migrations (for example Prisma migrations or Flyway), never manual console edits.</w:t>
      </w:r>
    </w:p>
    <w:p>
      <w:pPr>
        <w:pStyle w:val="ListBullet"/>
        <w:spacing w:after="40"/>
      </w:pPr>
      <w:r>
        <w:t>Use Cloud Run revisions and traffic shifting for deployment rollback.</w:t>
      </w:r>
    </w:p>
    <w:p>
      <w:pPr>
        <w:pStyle w:val="Heading1"/>
      </w:pPr>
      <w:r>
        <w:t>14. Recommended Application Stack</w:t>
      </w:r>
    </w:p>
    <w:tbl>
      <w:tblPr>
        <w:tblStyle w:val="TableGrid"/>
        <w:tblW w:type="auto" w:w="0"/>
        <w:jc w:val="center"/>
        <w:tblLook w:firstColumn="1" w:firstRow="1" w:lastColumn="0" w:lastRow="0" w:noHBand="0" w:noVBand="1" w:val="04A0"/>
      </w:tblPr>
      <w:tblGrid>
        <w:gridCol w:w="5083"/>
        <w:gridCol w:w="5083"/>
      </w:tblGrid>
      <w:tr>
        <w:tc>
          <w:tcPr>
            <w:tcW w:type="dxa" w:w="3024"/>
            <w:shd w:fill="DCE6F1"/>
            <w:tcMar>
              <w:top w:w="80" w:type="dxa"/>
              <w:start w:w="90" w:type="dxa"/>
              <w:bottom w:w="80" w:type="dxa"/>
              <w:end w:w="90" w:type="dxa"/>
            </w:tcMar>
            <w:vAlign w:val="top"/>
          </w:tcPr>
          <w:p>
            <w:r>
              <w:rPr>
                <w:b/>
                <w:color w:val="17365D"/>
              </w:rPr>
              <w:t>Web/API</w:t>
            </w:r>
          </w:p>
        </w:tc>
        <w:tc>
          <w:tcPr>
            <w:tcW w:type="dxa" w:w="6912"/>
            <w:tcMar>
              <w:top w:w="80" w:type="dxa"/>
              <w:start w:w="90" w:type="dxa"/>
              <w:bottom w:w="80" w:type="dxa"/>
              <w:end w:w="90" w:type="dxa"/>
            </w:tcMar>
            <w:vAlign w:val="top"/>
          </w:tcPr>
          <w:p>
            <w:r>
              <w:t>Next.js + TypeScript on Cloud Run (recommended, not mandatory)</w:t>
            </w:r>
          </w:p>
        </w:tc>
      </w:tr>
      <w:tr>
        <w:tc>
          <w:tcPr>
            <w:tcW w:type="dxa" w:w="3024"/>
            <w:shd w:fill="DCE6F1"/>
            <w:tcMar>
              <w:top w:w="80" w:type="dxa"/>
              <w:start w:w="90" w:type="dxa"/>
              <w:bottom w:w="80" w:type="dxa"/>
              <w:end w:w="90" w:type="dxa"/>
            </w:tcMar>
            <w:vAlign w:val="top"/>
          </w:tcPr>
          <w:p>
            <w:r>
              <w:rPr>
                <w:b/>
                <w:color w:val="17365D"/>
              </w:rPr>
              <w:t>Database</w:t>
            </w:r>
          </w:p>
        </w:tc>
        <w:tc>
          <w:tcPr>
            <w:tcW w:type="dxa" w:w="6912"/>
            <w:tcMar>
              <w:top w:w="80" w:type="dxa"/>
              <w:start w:w="90" w:type="dxa"/>
              <w:bottom w:w="80" w:type="dxa"/>
              <w:end w:w="90" w:type="dxa"/>
            </w:tcMar>
            <w:vAlign w:val="top"/>
          </w:tcPr>
          <w:p>
            <w:r>
              <w:t>Cloud SQL for PostgreSQL</w:t>
            </w:r>
          </w:p>
        </w:tc>
      </w:tr>
      <w:tr>
        <w:tc>
          <w:tcPr>
            <w:tcW w:type="dxa" w:w="3024"/>
            <w:shd w:fill="DCE6F1"/>
            <w:tcMar>
              <w:top w:w="80" w:type="dxa"/>
              <w:start w:w="90" w:type="dxa"/>
              <w:bottom w:w="80" w:type="dxa"/>
              <w:end w:w="90" w:type="dxa"/>
            </w:tcMar>
            <w:vAlign w:val="top"/>
          </w:tcPr>
          <w:p>
            <w:r>
              <w:rPr>
                <w:b/>
                <w:color w:val="17365D"/>
              </w:rPr>
              <w:t>ORM / migrations</w:t>
            </w:r>
          </w:p>
        </w:tc>
        <w:tc>
          <w:tcPr>
            <w:tcW w:type="dxa" w:w="6912"/>
            <w:tcMar>
              <w:top w:w="80" w:type="dxa"/>
              <w:start w:w="90" w:type="dxa"/>
              <w:bottom w:w="80" w:type="dxa"/>
              <w:end w:w="90" w:type="dxa"/>
            </w:tcMar>
            <w:vAlign w:val="top"/>
          </w:tcPr>
          <w:p>
            <w:r>
              <w:t>Prisma is acceptable given existing team familiarity; alternatively Drizzle/Kysely/SQL migrations</w:t>
            </w:r>
          </w:p>
        </w:tc>
      </w:tr>
      <w:tr>
        <w:tc>
          <w:tcPr>
            <w:tcW w:type="dxa" w:w="3024"/>
            <w:shd w:fill="DCE6F1"/>
            <w:tcMar>
              <w:top w:w="80" w:type="dxa"/>
              <w:start w:w="90" w:type="dxa"/>
              <w:bottom w:w="80" w:type="dxa"/>
              <w:end w:w="90" w:type="dxa"/>
            </w:tcMar>
            <w:vAlign w:val="top"/>
          </w:tcPr>
          <w:p>
            <w:r>
              <w:rPr>
                <w:b/>
                <w:color w:val="17365D"/>
              </w:rPr>
              <w:t>Auth</w:t>
            </w:r>
          </w:p>
        </w:tc>
        <w:tc>
          <w:tcPr>
            <w:tcW w:type="dxa" w:w="6912"/>
            <w:tcMar>
              <w:top w:w="80" w:type="dxa"/>
              <w:start w:w="90" w:type="dxa"/>
              <w:bottom w:w="80" w:type="dxa"/>
              <w:end w:w="90" w:type="dxa"/>
            </w:tcMar>
            <w:vAlign w:val="top"/>
          </w:tcPr>
          <w:p>
            <w:r>
              <w:t>Cloud Run + IAP; internal RBAC in PostgreSQL</w:t>
            </w:r>
          </w:p>
        </w:tc>
      </w:tr>
      <w:tr>
        <w:tc>
          <w:tcPr>
            <w:tcW w:type="dxa" w:w="3024"/>
            <w:shd w:fill="DCE6F1"/>
            <w:tcMar>
              <w:top w:w="80" w:type="dxa"/>
              <w:start w:w="90" w:type="dxa"/>
              <w:bottom w:w="80" w:type="dxa"/>
              <w:end w:w="90" w:type="dxa"/>
            </w:tcMar>
            <w:vAlign w:val="top"/>
          </w:tcPr>
          <w:p>
            <w:r>
              <w:rPr>
                <w:b/>
                <w:color w:val="17365D"/>
              </w:rPr>
              <w:t>Object storage</w:t>
            </w:r>
          </w:p>
        </w:tc>
        <w:tc>
          <w:tcPr>
            <w:tcW w:type="dxa" w:w="6912"/>
            <w:tcMar>
              <w:top w:w="80" w:type="dxa"/>
              <w:start w:w="90" w:type="dxa"/>
              <w:bottom w:w="80" w:type="dxa"/>
              <w:end w:w="90" w:type="dxa"/>
            </w:tcMar>
            <w:vAlign w:val="top"/>
          </w:tcPr>
          <w:p>
            <w:r>
              <w:t>Cloud Storage</w:t>
            </w:r>
          </w:p>
        </w:tc>
      </w:tr>
      <w:tr>
        <w:tc>
          <w:tcPr>
            <w:tcW w:type="dxa" w:w="3024"/>
            <w:shd w:fill="DCE6F1"/>
            <w:tcMar>
              <w:top w:w="80" w:type="dxa"/>
              <w:start w:w="90" w:type="dxa"/>
              <w:bottom w:w="80" w:type="dxa"/>
              <w:end w:w="90" w:type="dxa"/>
            </w:tcMar>
            <w:vAlign w:val="top"/>
          </w:tcPr>
          <w:p>
            <w:r>
              <w:rPr>
                <w:b/>
                <w:color w:val="17365D"/>
              </w:rPr>
              <w:t>Background work</w:t>
            </w:r>
          </w:p>
        </w:tc>
        <w:tc>
          <w:tcPr>
            <w:tcW w:type="dxa" w:w="6912"/>
            <w:tcMar>
              <w:top w:w="80" w:type="dxa"/>
              <w:start w:w="90" w:type="dxa"/>
              <w:bottom w:w="80" w:type="dxa"/>
              <w:end w:w="90" w:type="dxa"/>
            </w:tcMar>
            <w:vAlign w:val="top"/>
          </w:tcPr>
          <w:p>
            <w:r>
              <w:t>Cloud Tasks</w:t>
            </w:r>
          </w:p>
        </w:tc>
      </w:tr>
      <w:tr>
        <w:tc>
          <w:tcPr>
            <w:tcW w:type="dxa" w:w="3024"/>
            <w:shd w:fill="DCE6F1"/>
            <w:tcMar>
              <w:top w:w="80" w:type="dxa"/>
              <w:start w:w="90" w:type="dxa"/>
              <w:bottom w:w="80" w:type="dxa"/>
              <w:end w:w="90" w:type="dxa"/>
            </w:tcMar>
            <w:vAlign w:val="top"/>
          </w:tcPr>
          <w:p>
            <w:r>
              <w:rPr>
                <w:b/>
                <w:color w:val="17365D"/>
              </w:rPr>
              <w:t>Schedules</w:t>
            </w:r>
          </w:p>
        </w:tc>
        <w:tc>
          <w:tcPr>
            <w:tcW w:type="dxa" w:w="6912"/>
            <w:tcMar>
              <w:top w:w="80" w:type="dxa"/>
              <w:start w:w="90" w:type="dxa"/>
              <w:bottom w:w="80" w:type="dxa"/>
              <w:end w:w="90" w:type="dxa"/>
            </w:tcMar>
            <w:vAlign w:val="top"/>
          </w:tcPr>
          <w:p>
            <w:r>
              <w:t>Cloud Scheduler</w:t>
            </w:r>
          </w:p>
        </w:tc>
      </w:tr>
      <w:tr>
        <w:tc>
          <w:tcPr>
            <w:tcW w:type="dxa" w:w="3024"/>
            <w:shd w:fill="DCE6F1"/>
            <w:tcMar>
              <w:top w:w="80" w:type="dxa"/>
              <w:start w:w="90" w:type="dxa"/>
              <w:bottom w:w="80" w:type="dxa"/>
              <w:end w:w="90" w:type="dxa"/>
            </w:tcMar>
            <w:vAlign w:val="top"/>
          </w:tcPr>
          <w:p>
            <w:r>
              <w:rPr>
                <w:b/>
                <w:color w:val="17365D"/>
              </w:rPr>
              <w:t>Secrets</w:t>
            </w:r>
          </w:p>
        </w:tc>
        <w:tc>
          <w:tcPr>
            <w:tcW w:type="dxa" w:w="6912"/>
            <w:tcMar>
              <w:top w:w="80" w:type="dxa"/>
              <w:start w:w="90" w:type="dxa"/>
              <w:bottom w:w="80" w:type="dxa"/>
              <w:end w:w="90" w:type="dxa"/>
            </w:tcMar>
            <w:vAlign w:val="top"/>
          </w:tcPr>
          <w:p>
            <w:r>
              <w:t>Secret Manager</w:t>
            </w:r>
          </w:p>
        </w:tc>
      </w:tr>
      <w:tr>
        <w:tc>
          <w:tcPr>
            <w:tcW w:type="dxa" w:w="3024"/>
            <w:shd w:fill="DCE6F1"/>
            <w:tcMar>
              <w:top w:w="80" w:type="dxa"/>
              <w:start w:w="90" w:type="dxa"/>
              <w:bottom w:w="80" w:type="dxa"/>
              <w:end w:w="90" w:type="dxa"/>
            </w:tcMar>
            <w:vAlign w:val="top"/>
          </w:tcPr>
          <w:p>
            <w:r>
              <w:rPr>
                <w:b/>
                <w:color w:val="17365D"/>
              </w:rPr>
              <w:t>Observability</w:t>
            </w:r>
          </w:p>
        </w:tc>
        <w:tc>
          <w:tcPr>
            <w:tcW w:type="dxa" w:w="6912"/>
            <w:tcMar>
              <w:top w:w="80" w:type="dxa"/>
              <w:start w:w="90" w:type="dxa"/>
              <w:bottom w:w="80" w:type="dxa"/>
              <w:end w:w="90" w:type="dxa"/>
            </w:tcMar>
            <w:vAlign w:val="top"/>
          </w:tcPr>
          <w:p>
            <w:r>
              <w:t>Cloud Logging + Monitoring + Error Reporting</w:t>
            </w:r>
          </w:p>
        </w:tc>
      </w:tr>
      <w:tr>
        <w:tc>
          <w:tcPr>
            <w:tcW w:type="dxa" w:w="3024"/>
            <w:shd w:fill="DCE6F1"/>
            <w:tcMar>
              <w:top w:w="80" w:type="dxa"/>
              <w:start w:w="90" w:type="dxa"/>
              <w:bottom w:w="80" w:type="dxa"/>
              <w:end w:w="90" w:type="dxa"/>
            </w:tcMar>
            <w:vAlign w:val="top"/>
          </w:tcPr>
          <w:p>
            <w:r>
              <w:rPr>
                <w:b/>
                <w:color w:val="17365D"/>
              </w:rPr>
              <w:t>IaC</w:t>
            </w:r>
          </w:p>
        </w:tc>
        <w:tc>
          <w:tcPr>
            <w:tcW w:type="dxa" w:w="6912"/>
            <w:tcMar>
              <w:top w:w="80" w:type="dxa"/>
              <w:start w:w="90" w:type="dxa"/>
              <w:bottom w:w="80" w:type="dxa"/>
              <w:end w:w="90" w:type="dxa"/>
            </w:tcMar>
            <w:vAlign w:val="top"/>
          </w:tcPr>
          <w:p>
            <w:r>
              <w:t>Terraform</w:t>
            </w:r>
          </w:p>
        </w:tc>
      </w:tr>
      <w:tr>
        <w:tc>
          <w:tcPr>
            <w:tcW w:type="dxa" w:w="3024"/>
            <w:shd w:fill="DCE6F1"/>
            <w:tcMar>
              <w:top w:w="80" w:type="dxa"/>
              <w:start w:w="90" w:type="dxa"/>
              <w:bottom w:w="80" w:type="dxa"/>
              <w:end w:w="90" w:type="dxa"/>
            </w:tcMar>
            <w:vAlign w:val="top"/>
          </w:tcPr>
          <w:p>
            <w:r>
              <w:rPr>
                <w:b/>
                <w:color w:val="17365D"/>
              </w:rPr>
              <w:t>CI/CD</w:t>
            </w:r>
          </w:p>
        </w:tc>
        <w:tc>
          <w:tcPr>
            <w:tcW w:type="dxa" w:w="6912"/>
            <w:tcMar>
              <w:top w:w="80" w:type="dxa"/>
              <w:start w:w="90" w:type="dxa"/>
              <w:bottom w:w="80" w:type="dxa"/>
              <w:end w:w="90" w:type="dxa"/>
            </w:tcMar>
            <w:vAlign w:val="top"/>
          </w:tcPr>
          <w:p>
            <w:r>
              <w:t>GitHub Actions or Cloud Build; one standardized pipeline</w:t>
            </w:r>
          </w:p>
        </w:tc>
      </w:tr>
    </w:tbl>
    <w:p>
      <w:pPr>
        <w:pStyle w:val="Heading1"/>
      </w:pPr>
      <w:r>
        <w:t>15. Migration Principle: Avoid Long-Lived Dual Writes</w:t>
      </w:r>
    </w:p>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b/>
                <w:color w:val="17365D"/>
              </w:rPr>
              <w:t>Recommended migration strategy</w:t>
            </w:r>
          </w:p>
          <w:p>
            <w:pPr>
              <w:spacing w:after="0"/>
            </w:pPr>
            <w:r>
              <w:t>Keep the existing Sheets application as the sole production writer until cutover. Build SQL as a shadow/read-validation target. Do not operate two authoritative write systems for weeks; dual-write divergence is harder to reconcile than a controlled cutover.</w:t>
            </w:r>
          </w:p>
        </w:tc>
      </w:tr>
    </w:tbl>
    <w:p>
      <w:pPr>
        <w:pStyle w:val="Heading1"/>
      </w:pPr>
      <w:r>
        <w:t>16. Phase-by-Phase Transition Plan</w:t>
      </w:r>
    </w:p>
    <w:p>
      <w:pPr>
        <w:pStyle w:val="Heading2"/>
      </w:pPr>
      <w:r>
        <w:t>Phase 0 — Stabilize current Production</w:t>
      </w:r>
    </w:p>
    <w:p>
      <w:r>
        <w:rPr>
          <w:b/>
        </w:rPr>
        <w:t xml:space="preserve">Typical effort: </w:t>
      </w:r>
      <w:r>
        <w:t>1-2 weeks, can begin immediately</w:t>
      </w:r>
    </w:p>
    <w:p>
      <w:pPr>
        <w:pStyle w:val="ListBullet"/>
        <w:spacing w:after="40"/>
      </w:pPr>
      <w:r>
        <w:t>Clear stale maintenance message and descriptive APP_VERSION.</w:t>
      </w:r>
    </w:p>
    <w:p>
      <w:pPr>
        <w:pStyle w:val="ListBullet"/>
        <w:spacing w:after="40"/>
      </w:pPr>
      <w:r>
        <w:t>Install/prove scheduled backup + health automation or explicitly document manual policy.</w:t>
      </w:r>
    </w:p>
    <w:p>
      <w:pPr>
        <w:pStyle w:val="ListBullet"/>
        <w:spacing w:after="40"/>
      </w:pPr>
      <w:r>
        <w:t>Freeze a formal current-state release tag and schema export.</w:t>
      </w:r>
    </w:p>
    <w:p>
      <w:pPr>
        <w:pStyle w:val="ListBullet"/>
        <w:spacing w:after="40"/>
      </w:pPr>
      <w:r>
        <w:t>Create automated regression fixtures for critical workflows.</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Current system has a clean operational baseline and repeatable regression suite.</w:t>
            </w:r>
          </w:p>
        </w:tc>
      </w:tr>
    </w:tbl>
    <w:p>
      <w:pPr>
        <w:pStyle w:val="Heading2"/>
      </w:pPr>
      <w:r>
        <w:t>Phase 1 — Define platform contracts</w:t>
      </w:r>
    </w:p>
    <w:p>
      <w:r>
        <w:rPr>
          <w:b/>
        </w:rPr>
        <w:t xml:space="preserve">Typical effort: </w:t>
      </w:r>
      <w:r>
        <w:t>1-2 weeks</w:t>
      </w:r>
    </w:p>
    <w:p>
      <w:pPr>
        <w:pStyle w:val="ListBullet"/>
        <w:spacing w:after="40"/>
      </w:pPr>
      <w:r>
        <w:t>Document domain commands and API response contracts independent of Apps Script.</w:t>
      </w:r>
    </w:p>
    <w:p>
      <w:pPr>
        <w:pStyle w:val="ListBullet"/>
        <w:spacing w:after="40"/>
      </w:pPr>
      <w:r>
        <w:t>Define SQL schema and constraints.</w:t>
      </w:r>
    </w:p>
    <w:p>
      <w:pPr>
        <w:pStyle w:val="ListBullet"/>
        <w:spacing w:after="40"/>
      </w:pPr>
      <w:r>
        <w:t>Define project/tenant model and role model.</w:t>
      </w:r>
    </w:p>
    <w:p>
      <w:pPr>
        <w:pStyle w:val="ListBullet"/>
        <w:spacing w:after="40"/>
      </w:pPr>
      <w:r>
        <w:t>Create canonical parser fixture set from known historical edge cases.</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A new backend can be built without reverse-engineering UI behavior.</w:t>
            </w:r>
          </w:p>
        </w:tc>
      </w:tr>
    </w:tbl>
    <w:p>
      <w:pPr>
        <w:pStyle w:val="Heading2"/>
      </w:pPr>
      <w:r>
        <w:t>Phase 2 — Build Google Cloud foundation</w:t>
      </w:r>
    </w:p>
    <w:p>
      <w:r>
        <w:rPr>
          <w:b/>
        </w:rPr>
        <w:t xml:space="preserve">Typical effort: </w:t>
      </w:r>
      <w:r>
        <w:t>1-2 weeks</w:t>
      </w:r>
    </w:p>
    <w:p>
      <w:pPr>
        <w:pStyle w:val="ListBullet"/>
        <w:spacing w:after="40"/>
      </w:pPr>
      <w:r>
        <w:t>Create DEV/STAGE/PROD GCP projects.</w:t>
      </w:r>
    </w:p>
    <w:p>
      <w:pPr>
        <w:pStyle w:val="ListBullet"/>
        <w:spacing w:after="40"/>
      </w:pPr>
      <w:r>
        <w:t>Provision Cloud SQL PostgreSQL in DEV.</w:t>
      </w:r>
    </w:p>
    <w:p>
      <w:pPr>
        <w:pStyle w:val="ListBullet"/>
        <w:spacing w:after="40"/>
      </w:pPr>
      <w:r>
        <w:t>Create Cloud Storage buckets, Secret Manager, Cloud Tasks, Cloud Scheduler.</w:t>
      </w:r>
    </w:p>
    <w:p>
      <w:pPr>
        <w:pStyle w:val="ListBullet"/>
        <w:spacing w:after="40"/>
      </w:pPr>
      <w:r>
        <w:t>Deploy a minimal Cloud Run service behind IAP.</w:t>
      </w:r>
    </w:p>
    <w:p>
      <w:pPr>
        <w:pStyle w:val="ListBullet"/>
        <w:spacing w:after="40"/>
      </w:pPr>
      <w:r>
        <w:t>Add Terraform and CI/CD.</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Authenticated cloud skeleton exists with infrastructure reproducible from code.</w:t>
            </w:r>
          </w:p>
        </w:tc>
      </w:tr>
    </w:tbl>
    <w:p>
      <w:pPr>
        <w:pStyle w:val="Heading2"/>
      </w:pPr>
      <w:r>
        <w:t>Phase 3 — SQL schema + migration utility</w:t>
      </w:r>
    </w:p>
    <w:p>
      <w:r>
        <w:rPr>
          <w:b/>
        </w:rPr>
        <w:t xml:space="preserve">Typical effort: </w:t>
      </w:r>
      <w:r>
        <w:t>2-3 weeks</w:t>
      </w:r>
    </w:p>
    <w:p>
      <w:pPr>
        <w:pStyle w:val="ListBullet"/>
        <w:spacing w:after="40"/>
      </w:pPr>
      <w:r>
        <w:t>Implement tables/constraints/indexes.</w:t>
      </w:r>
    </w:p>
    <w:p>
      <w:pPr>
        <w:pStyle w:val="ListBullet"/>
        <w:spacing w:after="40"/>
      </w:pPr>
      <w:r>
        <w:t>Write Sheets-to-SQL extractor/upsert tool.</w:t>
      </w:r>
    </w:p>
    <w:p>
      <w:pPr>
        <w:pStyle w:val="ListBullet"/>
        <w:spacing w:after="40"/>
      </w:pPr>
      <w:r>
        <w:t>Backfill current Production into DEV shadow DB.</w:t>
      </w:r>
    </w:p>
    <w:p>
      <w:pPr>
        <w:pStyle w:val="ListBullet"/>
        <w:spacing w:after="40"/>
      </w:pPr>
      <w:r>
        <w:t>Generate row counts, key counts, aggregate totals and hash/reconciliation reports.</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SQL shadow reproduces Production data accurately.</w:t>
            </w:r>
          </w:p>
        </w:tc>
      </w:tr>
    </w:tbl>
    <w:p>
      <w:pPr>
        <w:pStyle w:val="Heading2"/>
      </w:pPr>
      <w:r>
        <w:t>Phase 4 — Rebuild domain services/API</w:t>
      </w:r>
    </w:p>
    <w:p>
      <w:r>
        <w:rPr>
          <w:b/>
        </w:rPr>
        <w:t xml:space="preserve">Typical effort: </w:t>
      </w:r>
      <w:r>
        <w:t>3-5 weeks</w:t>
      </w:r>
    </w:p>
    <w:p>
      <w:pPr>
        <w:pStyle w:val="ListBullet"/>
        <w:spacing w:after="40"/>
      </w:pPr>
      <w:r>
        <w:t>Port search, Field actions, bag/tag, backorder, audit, owner correction semantics.</w:t>
      </w:r>
    </w:p>
    <w:p>
      <w:pPr>
        <w:pStyle w:val="ListBullet"/>
        <w:spacing w:after="40"/>
      </w:pPr>
      <w:r>
        <w:t>Use SQL transactions and idempotency keys.</w:t>
      </w:r>
    </w:p>
    <w:p>
      <w:pPr>
        <w:pStyle w:val="ListBullet"/>
        <w:spacing w:after="40"/>
      </w:pPr>
      <w:r>
        <w:t>Port parser/staging/publish workflows.</w:t>
      </w:r>
    </w:p>
    <w:p>
      <w:pPr>
        <w:pStyle w:val="ListBullet"/>
        <w:spacing w:after="40"/>
      </w:pPr>
      <w:r>
        <w:t>Add unit/integration tests for every state transition.</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Backend behavior matches current FMRCore contracts.</w:t>
            </w:r>
          </w:p>
        </w:tc>
      </w:tr>
    </w:tbl>
    <w:p>
      <w:pPr>
        <w:pStyle w:val="Heading2"/>
      </w:pPr>
      <w:r>
        <w:t>Phase 5 — Rebuild / port UI</w:t>
      </w:r>
    </w:p>
    <w:p>
      <w:r>
        <w:rPr>
          <w:b/>
        </w:rPr>
        <w:t xml:space="preserve">Typical effort: </w:t>
      </w:r>
      <w:r>
        <w:t>2-4 weeks</w:t>
      </w:r>
    </w:p>
    <w:p>
      <w:pPr>
        <w:pStyle w:val="ListBullet"/>
        <w:spacing w:after="40"/>
      </w:pPr>
      <w:r>
        <w:t>Reproduce Field, Admin, Owner user journeys.</w:t>
      </w:r>
    </w:p>
    <w:p>
      <w:pPr>
        <w:pStyle w:val="ListBullet"/>
        <w:spacing w:after="40"/>
      </w:pPr>
      <w:r>
        <w:t>Preserve proven UX patterns such as on-demand Admin detail, expandable Field notes, confirmed-backorder filter.</w:t>
      </w:r>
    </w:p>
    <w:p>
      <w:pPr>
        <w:pStyle w:val="ListBullet"/>
        <w:spacing w:after="40"/>
      </w:pPr>
      <w:r>
        <w:t>Add direct deep links and improved responsive behavior.</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New UI reaches feature parity in STAGING.</w:t>
            </w:r>
          </w:p>
        </w:tc>
      </w:tr>
    </w:tbl>
    <w:p>
      <w:pPr>
        <w:pStyle w:val="Heading2"/>
      </w:pPr>
      <w:r>
        <w:t>Phase 6 — Shadow validation</w:t>
      </w:r>
    </w:p>
    <w:p>
      <w:r>
        <w:rPr>
          <w:b/>
        </w:rPr>
        <w:t xml:space="preserve">Typical effort: </w:t>
      </w:r>
      <w:r>
        <w:t>2-4 weeks</w:t>
      </w:r>
    </w:p>
    <w:p>
      <w:pPr>
        <w:pStyle w:val="ListBullet"/>
        <w:spacing w:after="40"/>
      </w:pPr>
      <w:r>
        <w:t>Continue Sheets as source of truth.</w:t>
      </w:r>
    </w:p>
    <w:p>
      <w:pPr>
        <w:pStyle w:val="ListBullet"/>
        <w:spacing w:after="40"/>
      </w:pPr>
      <w:r>
        <w:t>Sync current state into shadow SQL on a schedule or by Updated_At watermarks.</w:t>
      </w:r>
    </w:p>
    <w:p>
      <w:pPr>
        <w:pStyle w:val="ListBullet"/>
        <w:spacing w:after="40"/>
      </w:pPr>
      <w:r>
        <w:t>Replay read queries in both systems and compare.</w:t>
      </w:r>
    </w:p>
    <w:p>
      <w:pPr>
        <w:pStyle w:val="ListBullet"/>
        <w:spacing w:after="40"/>
      </w:pPr>
      <w:r>
        <w:t>Run selected transaction simulations in isolated STAGING data.</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No unexplained parity differences over an agreed observation period.</w:t>
            </w:r>
          </w:p>
        </w:tc>
      </w:tr>
    </w:tbl>
    <w:p>
      <w:pPr>
        <w:pStyle w:val="Heading2"/>
      </w:pPr>
      <w:r>
        <w:t>Phase 7 — Controlled cutover</w:t>
      </w:r>
    </w:p>
    <w:p>
      <w:r>
        <w:rPr>
          <w:b/>
        </w:rPr>
        <w:t xml:space="preserve">Typical effort: </w:t>
      </w:r>
      <w:r>
        <w:t>1 planned maintenance window + hypercare</w:t>
      </w:r>
    </w:p>
    <w:p>
      <w:pPr>
        <w:pStyle w:val="ListBullet"/>
        <w:spacing w:after="40"/>
      </w:pPr>
      <w:r>
        <w:t>Set current PROD READ_ONLY.</w:t>
      </w:r>
    </w:p>
    <w:p>
      <w:pPr>
        <w:pStyle w:val="ListBullet"/>
        <w:spacing w:after="40"/>
      </w:pPr>
      <w:r>
        <w:t>Create final Sheets backup.</w:t>
      </w:r>
    </w:p>
    <w:p>
      <w:pPr>
        <w:pStyle w:val="ListBullet"/>
        <w:spacing w:after="40"/>
      </w:pPr>
      <w:r>
        <w:t>Run final incremental sync.</w:t>
      </w:r>
    </w:p>
    <w:p>
      <w:pPr>
        <w:pStyle w:val="ListBullet"/>
        <w:spacing w:after="40"/>
      </w:pPr>
      <w:r>
        <w:t>Reconcile counts/totals/IDs.</w:t>
      </w:r>
    </w:p>
    <w:p>
      <w:pPr>
        <w:pStyle w:val="ListBullet"/>
        <w:spacing w:after="40"/>
      </w:pPr>
      <w:r>
        <w:t>Switch user URL to Cloud Run app.</w:t>
      </w:r>
    </w:p>
    <w:p>
      <w:pPr>
        <w:pStyle w:val="ListBullet"/>
        <w:spacing w:after="40"/>
      </w:pPr>
      <w:r>
        <w:t>Monitor transactions closely; keep Sheets frozen as read-only archive.</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Cloud platform becomes the sole production writer.</w:t>
            </w:r>
          </w:p>
        </w:tc>
      </w:tr>
    </w:tbl>
    <w:p>
      <w:pPr>
        <w:pStyle w:val="Heading2"/>
      </w:pPr>
      <w:r>
        <w:t>Phase 8 — Productize for other projects</w:t>
      </w:r>
    </w:p>
    <w:p>
      <w:r>
        <w:rPr>
          <w:b/>
        </w:rPr>
        <w:t xml:space="preserve">Typical effort: </w:t>
      </w:r>
      <w:r>
        <w:t>ongoing</w:t>
      </w:r>
    </w:p>
    <w:p>
      <w:pPr>
        <w:pStyle w:val="ListBullet"/>
        <w:spacing w:after="40"/>
      </w:pPr>
      <w:r>
        <w:t>Create project onboarding wizard/config.</w:t>
      </w:r>
    </w:p>
    <w:p>
      <w:pPr>
        <w:pStyle w:val="ListBullet"/>
        <w:spacing w:after="40"/>
      </w:pPr>
      <w:r>
        <w:t>Tenant-aware role assignment.</w:t>
      </w:r>
    </w:p>
    <w:p>
      <w:pPr>
        <w:pStyle w:val="ListBullet"/>
        <w:spacing w:after="40"/>
      </w:pPr>
      <w:r>
        <w:t>Project-specific import profiles/defaults.</w:t>
      </w:r>
    </w:p>
    <w:p>
      <w:pPr>
        <w:pStyle w:val="ListBullet"/>
        <w:spacing w:after="40"/>
      </w:pPr>
      <w:r>
        <w:t>Standard environment deployment and data retention policies.</w:t>
      </w:r>
    </w:p>
    <w:p>
      <w:pPr>
        <w:pStyle w:val="ListBullet"/>
        <w:spacing w:after="40"/>
      </w:pPr>
      <w:r>
        <w:t>Reusable reporting/export package and project template.</w:t>
      </w:r>
    </w:p>
    <w:tbl>
      <w:tblPr>
        <w:tblW w:type="auto" w:w="0"/>
        <w:jc w:val="center"/>
        <w:tblLayout w:type="autofit"/>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r>
              <w:rPr>
                <w:b/>
                <w:color w:val="17365D"/>
              </w:rPr>
              <w:t>Exit criterion</w:t>
            </w:r>
          </w:p>
          <w:p>
            <w:pPr>
              <w:spacing w:after="0"/>
            </w:pPr>
            <w:r>
              <w:t>New construction projects can be onboarded by configuration rather than cloning code.</w:t>
            </w:r>
          </w:p>
        </w:tc>
      </w:tr>
    </w:tbl>
    <w:p>
      <w:pPr>
        <w:pStyle w:val="Heading1"/>
      </w:pPr>
      <w:r>
        <w:t>17. Data Migration Mechanics</w:t>
      </w:r>
    </w:p>
    <w:p>
      <w:r>
        <w:t>A migration utility should treat spreadsheet IDs as legacy source identifiers and create stable SQL UUIDs only where necessary. Preserving existing IDs initially reduces reconciliation risk.</w:t>
      </w:r>
    </w:p>
    <w:p>
      <w:pPr>
        <w:pStyle w:val="ListNumber"/>
        <w:spacing w:after="40"/>
      </w:pPr>
      <w:r>
        <w:t>Export configuration, users, FMR headers, line items, transactions, bags, backorders, audit, import history, and recovery history.</w:t>
      </w:r>
    </w:p>
    <w:p>
      <w:pPr>
        <w:pStyle w:val="ListNumber"/>
        <w:spacing w:after="40"/>
      </w:pPr>
      <w:r>
        <w:t>Load parent tables first, then child tables under deferred/controlled foreign-key validation.</w:t>
      </w:r>
    </w:p>
    <w:p>
      <w:pPr>
        <w:pStyle w:val="ListNumber"/>
        <w:spacing w:after="40"/>
      </w:pPr>
      <w:r>
        <w:t>Validate every FMR_Header aggregate against the sum of its FMR_Line_Items.</w:t>
      </w:r>
    </w:p>
    <w:p>
      <w:pPr>
        <w:pStyle w:val="ListNumber"/>
        <w:spacing w:after="40"/>
      </w:pPr>
      <w:r>
        <w:t>Validate transaction totals and current state for every line that has activity.</w:t>
      </w:r>
    </w:p>
    <w:p>
      <w:pPr>
        <w:pStyle w:val="ListNumber"/>
        <w:spacing w:after="40"/>
      </w:pPr>
      <w:r>
        <w:t>Validate backorder request quantities against line pending/confirmed state.</w:t>
      </w:r>
    </w:p>
    <w:p>
      <w:pPr>
        <w:pStyle w:val="ListNumber"/>
        <w:spacing w:after="40"/>
      </w:pPr>
      <w:r>
        <w:t>Validate Bag item remaining quantities against bag status and line state.</w:t>
      </w:r>
    </w:p>
    <w:p>
      <w:pPr>
        <w:pStyle w:val="ListNumber"/>
        <w:spacing w:after="40"/>
      </w:pPr>
      <w:r>
        <w:t>Generate a migration exception table; never silently coerce inconsistent production data.</w:t>
      </w:r>
    </w:p>
    <w:p>
      <w:pPr>
        <w:pStyle w:val="ListNumber"/>
        <w:spacing w:after="40"/>
      </w:pPr>
      <w:r>
        <w:t>After final cutover, preserve the final spreadsheet backup as an immutable legacy archive.</w:t>
      </w:r>
    </w:p>
    <w:p>
      <w:pPr>
        <w:pStyle w:val="Heading1"/>
      </w:pPr>
      <w:r>
        <w:t>18. Incremental Shadow Sync Before Cutover</w:t>
      </w:r>
    </w:p>
    <w:tbl>
      <w:tblPr>
        <w:tblStyle w:val="TableGrid"/>
        <w:tblW w:type="auto" w:w="0"/>
        <w:jc w:val="center"/>
        <w:tblLook w:firstColumn="1" w:firstRow="1" w:lastColumn="0" w:lastRow="0" w:noHBand="0" w:noVBand="1" w:val="04A0"/>
      </w:tblPr>
      <w:tblGrid>
        <w:gridCol w:w="5083"/>
        <w:gridCol w:w="5083"/>
      </w:tblGrid>
      <w:tr>
        <w:tc>
          <w:tcPr>
            <w:tcW w:type="dxa" w:w="2736"/>
            <w:shd w:fill="17365D"/>
            <w:tcMar>
              <w:top w:w="80" w:type="dxa"/>
              <w:start w:w="90" w:type="dxa"/>
              <w:bottom w:w="80" w:type="dxa"/>
              <w:end w:w="90" w:type="dxa"/>
            </w:tcMar>
          </w:tcPr>
          <w:p>
            <w:r>
              <w:rPr>
                <w:b/>
                <w:color w:val="FFFFFF"/>
                <w:sz w:val="17"/>
              </w:rPr>
              <w:t>Table type</w:t>
            </w:r>
          </w:p>
        </w:tc>
        <w:tc>
          <w:tcPr>
            <w:tcW w:type="dxa" w:w="7488"/>
            <w:shd w:fill="17365D"/>
            <w:tcMar>
              <w:top w:w="80" w:type="dxa"/>
              <w:start w:w="90" w:type="dxa"/>
              <w:bottom w:w="80" w:type="dxa"/>
              <w:end w:w="90" w:type="dxa"/>
            </w:tcMar>
          </w:tcPr>
          <w:p>
            <w:r>
              <w:rPr>
                <w:b/>
                <w:color w:val="FFFFFF"/>
                <w:sz w:val="17"/>
              </w:rPr>
              <w:t>Recommended shadow-sync method</w:t>
            </w:r>
          </w:p>
        </w:tc>
      </w:tr>
      <w:tr>
        <w:tc>
          <w:tcPr>
            <w:tcW w:type="dxa" w:w="2736"/>
            <w:tcMar>
              <w:top w:w="80" w:type="dxa"/>
              <w:start w:w="90" w:type="dxa"/>
              <w:bottom w:w="80" w:type="dxa"/>
              <w:end w:w="90" w:type="dxa"/>
            </w:tcMar>
            <w:vAlign w:val="top"/>
          </w:tcPr>
          <w:p>
            <w:r>
              <w:rPr>
                <w:sz w:val="17"/>
              </w:rPr>
              <w:t>Append-only</w:t>
            </w:r>
          </w:p>
        </w:tc>
        <w:tc>
          <w:tcPr>
            <w:tcW w:type="dxa" w:w="7488"/>
            <w:tcMar>
              <w:top w:w="80" w:type="dxa"/>
              <w:start w:w="90" w:type="dxa"/>
              <w:bottom w:w="80" w:type="dxa"/>
              <w:end w:w="90" w:type="dxa"/>
            </w:tcMar>
            <w:vAlign w:val="top"/>
          </w:tcPr>
          <w:p>
            <w:r>
              <w:rPr>
                <w:sz w:val="17"/>
              </w:rPr>
              <w:t>Track the highest created timestamp / stable ID and insert unseen rows: Material_Transactions, Audit_Log, most import issue history.</w:t>
            </w:r>
          </w:p>
        </w:tc>
      </w:tr>
      <w:tr>
        <w:tc>
          <w:tcPr>
            <w:tcW w:type="dxa" w:w="2736"/>
            <w:tcMar>
              <w:top w:w="80" w:type="dxa"/>
              <w:start w:w="90" w:type="dxa"/>
              <w:bottom w:w="80" w:type="dxa"/>
              <w:end w:w="90" w:type="dxa"/>
            </w:tcMar>
            <w:vAlign w:val="top"/>
          </w:tcPr>
          <w:p>
            <w:r>
              <w:rPr>
                <w:sz w:val="17"/>
              </w:rPr>
              <w:t>Mutable current state</w:t>
            </w:r>
          </w:p>
        </w:tc>
        <w:tc>
          <w:tcPr>
            <w:tcW w:type="dxa" w:w="7488"/>
            <w:tcMar>
              <w:top w:w="80" w:type="dxa"/>
              <w:start w:w="90" w:type="dxa"/>
              <w:bottom w:w="80" w:type="dxa"/>
              <w:end w:w="90" w:type="dxa"/>
            </w:tcMar>
            <w:vAlign w:val="top"/>
          </w:tcPr>
          <w:p>
            <w:r>
              <w:rPr>
                <w:sz w:val="17"/>
              </w:rPr>
              <w:t>Upsert by stable ID where Updated_At is newer: FMR_Header, FMR_Line_Items, Backorder_Requests, Bag_*.</w:t>
            </w:r>
          </w:p>
        </w:tc>
      </w:tr>
      <w:tr>
        <w:tc>
          <w:tcPr>
            <w:tcW w:type="dxa" w:w="2736"/>
            <w:tcMar>
              <w:top w:w="80" w:type="dxa"/>
              <w:start w:w="90" w:type="dxa"/>
              <w:bottom w:w="80" w:type="dxa"/>
              <w:end w:w="90" w:type="dxa"/>
            </w:tcMar>
            <w:vAlign w:val="top"/>
          </w:tcPr>
          <w:p>
            <w:r>
              <w:rPr>
                <w:sz w:val="17"/>
              </w:rPr>
              <w:t>Indexes</w:t>
            </w:r>
          </w:p>
        </w:tc>
        <w:tc>
          <w:tcPr>
            <w:tcW w:type="dxa" w:w="7488"/>
            <w:tcMar>
              <w:top w:w="80" w:type="dxa"/>
              <w:start w:w="90" w:type="dxa"/>
              <w:bottom w:w="80" w:type="dxa"/>
              <w:end w:w="90" w:type="dxa"/>
            </w:tcMar>
            <w:vAlign w:val="top"/>
          </w:tcPr>
          <w:p>
            <w:r>
              <w:rPr>
                <w:sz w:val="17"/>
              </w:rPr>
              <w:t>Do not migrate Search_Index / Operational_Index as operational SQL data; rebuild native DB indexes.</w:t>
            </w:r>
          </w:p>
        </w:tc>
      </w:tr>
      <w:tr>
        <w:tc>
          <w:tcPr>
            <w:tcW w:type="dxa" w:w="2736"/>
            <w:tcMar>
              <w:top w:w="80" w:type="dxa"/>
              <w:start w:w="90" w:type="dxa"/>
              <w:bottom w:w="80" w:type="dxa"/>
              <w:end w:w="90" w:type="dxa"/>
            </w:tcMar>
            <w:vAlign w:val="top"/>
          </w:tcPr>
          <w:p>
            <w:r>
              <w:rPr>
                <w:sz w:val="17"/>
              </w:rPr>
              <w:t>Configuration / users</w:t>
            </w:r>
          </w:p>
        </w:tc>
        <w:tc>
          <w:tcPr>
            <w:tcW w:type="dxa" w:w="7488"/>
            <w:tcMar>
              <w:top w:w="80" w:type="dxa"/>
              <w:start w:w="90" w:type="dxa"/>
              <w:bottom w:w="80" w:type="dxa"/>
              <w:end w:w="90" w:type="dxa"/>
            </w:tcMar>
            <w:vAlign w:val="top"/>
          </w:tcPr>
          <w:p>
            <w:r>
              <w:rPr>
                <w:sz w:val="17"/>
              </w:rPr>
              <w:t>Upsert by setting/user ID with explicit environment/project mapping.</w:t>
            </w:r>
          </w:p>
        </w:tc>
      </w:tr>
    </w:tbl>
    <w:p>
      <w:pPr>
        <w:pStyle w:val="Heading1"/>
      </w:pPr>
      <w:r>
        <w:t>19. Cutover Runbook — High Level</w:t>
      </w:r>
    </w:p>
    <w:p>
      <w:pPr>
        <w:pStyle w:val="ListNumber"/>
        <w:spacing w:after="40"/>
      </w:pPr>
      <w:r>
        <w:t>Announce maintenance window and freeze code changes.</w:t>
      </w:r>
    </w:p>
    <w:p>
      <w:pPr>
        <w:pStyle w:val="ListNumber"/>
        <w:spacing w:after="40"/>
      </w:pPr>
      <w:r>
        <w:t>Set Sheets Production to READ_ONLY.</w:t>
      </w:r>
    </w:p>
    <w:p>
      <w:pPr>
        <w:pStyle w:val="ListNumber"/>
        <w:spacing w:after="40"/>
      </w:pPr>
      <w:r>
        <w:t>Create final spreadsheet backup and record fingerprint/counts.</w:t>
      </w:r>
    </w:p>
    <w:p>
      <w:pPr>
        <w:pStyle w:val="ListNumber"/>
        <w:spacing w:after="40"/>
      </w:pPr>
      <w:r>
        <w:t>Run final Sheets-to-SQL delta sync.</w:t>
      </w:r>
    </w:p>
    <w:p>
      <w:pPr>
        <w:pStyle w:val="ListNumber"/>
        <w:spacing w:after="40"/>
      </w:pPr>
      <w:r>
        <w:t>Run automated reconciliation: FMR counts, line counts, quantities, transaction counts, backorders, users, and selected sampled records.</w:t>
      </w:r>
    </w:p>
    <w:p>
      <w:pPr>
        <w:pStyle w:val="ListNumber"/>
        <w:spacing w:after="40"/>
      </w:pPr>
      <w:r>
        <w:t>Enable new Cloud Run Production revision but keep access restricted to commissioning group.</w:t>
      </w:r>
    </w:p>
    <w:p>
      <w:pPr>
        <w:pStyle w:val="ListNumber"/>
        <w:spacing w:after="40"/>
      </w:pPr>
      <w:r>
        <w:t>Perform one controlled real Field transaction and reconcile SQL/audit state.</w:t>
      </w:r>
    </w:p>
    <w:p>
      <w:pPr>
        <w:pStyle w:val="ListNumber"/>
        <w:spacing w:after="40"/>
      </w:pPr>
      <w:r>
        <w:t>Open access to pilot users, then remaining users.</w:t>
      </w:r>
    </w:p>
    <w:p>
      <w:pPr>
        <w:pStyle w:val="ListNumber"/>
        <w:spacing w:after="40"/>
      </w:pPr>
      <w:r>
        <w:t>Keep old Sheets app READ_ONLY for reference during hypercare.</w:t>
      </w:r>
    </w:p>
    <w:p>
      <w:pPr>
        <w:pStyle w:val="ListNumber"/>
        <w:spacing w:after="40"/>
      </w:pPr>
      <w:r>
        <w:t>After acceptance window, archive old app and retain backup/rollback artifacts according to policy.</w:t>
      </w:r>
    </w:p>
    <w:p>
      <w:pPr>
        <w:pStyle w:val="Heading1"/>
      </w:pPr>
      <w:r>
        <w:t>20. Rollback Strategy</w:t>
      </w:r>
    </w:p>
    <w:p>
      <w:r>
        <w:t>Rollback must be decided before cutover. The safest first cutover is one-way: after the first cloud production write, do not automatically resume Sheets as writer without reconciling those new cloud transactions.</w:t>
      </w:r>
    </w:p>
    <w:p>
      <w:pPr>
        <w:pStyle w:val="ListBullet"/>
        <w:spacing w:after="40"/>
      </w:pPr>
      <w:r>
        <w:t>Before first cloud write: rollback is simple—send users back to READ_ONLY Sheets and fix the cloud release.</w:t>
      </w:r>
    </w:p>
    <w:p>
      <w:pPr>
        <w:pStyle w:val="ListBullet"/>
        <w:spacing w:after="40"/>
      </w:pPr>
      <w:r>
        <w:t>After cloud writes begin: if rollback is required, export/reconcile the new cloud transactions before re-enabling Sheets, or keep the cloud system authoritative while deploying the previous Cloud Run revision.</w:t>
      </w:r>
    </w:p>
    <w:p>
      <w:pPr>
        <w:pStyle w:val="ListBullet"/>
        <w:spacing w:after="40"/>
      </w:pPr>
      <w:r>
        <w:t>Prefer Cloud Run revision rollback over database rollback for code defects.</w:t>
      </w:r>
    </w:p>
    <w:p>
      <w:pPr>
        <w:pStyle w:val="ListBullet"/>
        <w:spacing w:after="40"/>
      </w:pPr>
      <w:r>
        <w:t>Use Cloud SQL point-in-time recovery only for database corruption/data-loss scenarios, not routine code deployment rollback.</w:t>
      </w:r>
    </w:p>
    <w:p>
      <w:pPr>
        <w:pStyle w:val="Heading1"/>
      </w:pPr>
      <w:r>
        <w:t>21. Multi-Project Reuse Design</w:t>
      </w:r>
    </w:p>
    <w:p>
      <w:pPr>
        <w:pStyle w:val="ListBullet"/>
        <w:spacing w:after="40"/>
      </w:pPr>
      <w:r>
        <w:t>Introduce project_id on all domain rows and require it in every API request/context.</w:t>
      </w:r>
    </w:p>
    <w:p>
      <w:pPr>
        <w:pStyle w:val="ListBullet"/>
        <w:spacing w:after="40"/>
      </w:pPr>
      <w:r>
        <w:t>Configuration becomes per-project data rather than cloned spreadsheet cells.</w:t>
      </w:r>
    </w:p>
    <w:p>
      <w:pPr>
        <w:pStyle w:val="ListBullet"/>
        <w:spacing w:after="40"/>
      </w:pPr>
      <w:r>
        <w:t>FMR number uniqueness is enforced within a project, not necessarily globally.</w:t>
      </w:r>
    </w:p>
    <w:p>
      <w:pPr>
        <w:pStyle w:val="ListBullet"/>
        <w:spacing w:after="40"/>
      </w:pPr>
      <w:r>
        <w:t>User membership/role is project-specific; one person can be Admin on one project and Field on another.</w:t>
      </w:r>
    </w:p>
    <w:p>
      <w:pPr>
        <w:pStyle w:val="ListBullet"/>
        <w:spacing w:after="40"/>
      </w:pPr>
      <w:r>
        <w:t>Import files are stored in project-specific Cloud Storage prefixes/buckets.</w:t>
      </w:r>
    </w:p>
    <w:p>
      <w:pPr>
        <w:pStyle w:val="ListBullet"/>
        <w:spacing w:after="40"/>
      </w:pPr>
      <w:r>
        <w:t>Tag numbering sequences are project-specific database sequences/counters.</w:t>
      </w:r>
    </w:p>
    <w:p>
      <w:pPr>
        <w:pStyle w:val="ListBullet"/>
        <w:spacing w:after="40"/>
      </w:pPr>
      <w:r>
        <w:t>Dashboards default to one project context but leadership roles can aggregate across projects.</w:t>
      </w:r>
    </w:p>
    <w:p>
      <w:pPr>
        <w:pStyle w:val="ListBullet"/>
        <w:spacing w:after="40"/>
      </w:pPr>
      <w:r>
        <w:t>Project onboarding becomes a repeatable configuration workflow rather than code duplication.</w:t>
      </w:r>
    </w:p>
    <w:p>
      <w:pPr>
        <w:pStyle w:val="Heading1"/>
      </w:pPr>
      <w:r>
        <w:t>22. Reporting and Analytics</w:t>
      </w:r>
    </w:p>
    <w:p>
      <w:r>
        <w:t>Keep the transactional database optimized for operational workflows. If cross-project analytics becomes important, replicate curated data to BigQuery rather than running large analytical scans against Cloud SQL.</w:t>
      </w:r>
    </w:p>
    <w:p>
      <w:pPr>
        <w:pStyle w:val="ListBullet"/>
        <w:spacing w:after="40"/>
      </w:pPr>
      <w:r>
        <w:t>Operational reporting: PostgreSQL views/materialized views or API endpoints.</w:t>
      </w:r>
    </w:p>
    <w:p>
      <w:pPr>
        <w:pStyle w:val="ListBullet"/>
        <w:spacing w:after="40"/>
      </w:pPr>
      <w:r>
        <w:t>Leadership analytics: BigQuery datasets fed by scheduled extracts or change pipelines.</w:t>
      </w:r>
    </w:p>
    <w:p>
      <w:pPr>
        <w:pStyle w:val="ListBullet"/>
        <w:spacing w:after="40"/>
      </w:pPr>
      <w:r>
        <w:t>Google Sheets can remain an export/reporting surface through scheduled reports rather than the system of record.</w:t>
      </w:r>
    </w:p>
    <w:p>
      <w:pPr>
        <w:pStyle w:val="Heading1"/>
      </w:pPr>
      <w:r>
        <w:t>23. Performance Expectations After Migration</w:t>
      </w:r>
    </w:p>
    <w:tbl>
      <w:tblPr>
        <w:tblStyle w:val="TableGrid"/>
        <w:tblW w:type="auto" w:w="0"/>
        <w:jc w:val="center"/>
        <w:tblLook w:firstColumn="1" w:firstRow="1" w:lastColumn="0" w:lastRow="0" w:noHBand="0" w:noVBand="1" w:val="04A0"/>
      </w:tblPr>
      <w:tblGrid>
        <w:gridCol w:w="5083"/>
        <w:gridCol w:w="5083"/>
      </w:tblGrid>
      <w:tr>
        <w:tc>
          <w:tcPr>
            <w:tcW w:type="dxa" w:w="2448"/>
            <w:shd w:fill="17365D"/>
            <w:tcMar>
              <w:top w:w="80" w:type="dxa"/>
              <w:start w:w="90" w:type="dxa"/>
              <w:bottom w:w="80" w:type="dxa"/>
              <w:end w:w="90" w:type="dxa"/>
            </w:tcMar>
          </w:tcPr>
          <w:p>
            <w:r>
              <w:rPr>
                <w:b/>
                <w:color w:val="FFFFFF"/>
                <w:sz w:val="17"/>
              </w:rPr>
              <w:t>Area</w:t>
            </w:r>
          </w:p>
        </w:tc>
        <w:tc>
          <w:tcPr>
            <w:tcW w:type="dxa" w:w="7776"/>
            <w:shd w:fill="17365D"/>
            <w:tcMar>
              <w:top w:w="80" w:type="dxa"/>
              <w:start w:w="90" w:type="dxa"/>
              <w:bottom w:w="80" w:type="dxa"/>
              <w:end w:w="90" w:type="dxa"/>
            </w:tcMar>
          </w:tcPr>
          <w:p>
            <w:r>
              <w:rPr>
                <w:b/>
                <w:color w:val="FFFFFF"/>
                <w:sz w:val="17"/>
              </w:rPr>
              <w:t>Expected improvement</w:t>
            </w:r>
          </w:p>
        </w:tc>
      </w:tr>
      <w:tr>
        <w:tc>
          <w:tcPr>
            <w:tcW w:type="dxa" w:w="2448"/>
            <w:tcMar>
              <w:top w:w="80" w:type="dxa"/>
              <w:start w:w="90" w:type="dxa"/>
              <w:bottom w:w="80" w:type="dxa"/>
              <w:end w:w="90" w:type="dxa"/>
            </w:tcMar>
            <w:vAlign w:val="top"/>
          </w:tcPr>
          <w:p>
            <w:r>
              <w:rPr>
                <w:sz w:val="17"/>
              </w:rPr>
              <w:t>Exact search</w:t>
            </w:r>
          </w:p>
        </w:tc>
        <w:tc>
          <w:tcPr>
            <w:tcW w:type="dxa" w:w="7776"/>
            <w:tcMar>
              <w:top w:w="80" w:type="dxa"/>
              <w:start w:w="90" w:type="dxa"/>
              <w:bottom w:w="80" w:type="dxa"/>
              <w:end w:w="90" w:type="dxa"/>
            </w:tcMar>
            <w:vAlign w:val="top"/>
          </w:tcPr>
          <w:p>
            <w:r>
              <w:rPr>
                <w:sz w:val="17"/>
              </w:rPr>
              <w:t>Native B-tree indexes; no row-number Search_Index maintenance.</w:t>
            </w:r>
          </w:p>
        </w:tc>
      </w:tr>
      <w:tr>
        <w:tc>
          <w:tcPr>
            <w:tcW w:type="dxa" w:w="2448"/>
            <w:tcMar>
              <w:top w:w="80" w:type="dxa"/>
              <w:start w:w="90" w:type="dxa"/>
              <w:bottom w:w="80" w:type="dxa"/>
              <w:end w:w="90" w:type="dxa"/>
            </w:tcMar>
            <w:vAlign w:val="top"/>
          </w:tcPr>
          <w:p>
            <w:r>
              <w:rPr>
                <w:sz w:val="17"/>
              </w:rPr>
              <w:t>Concurrent transactions</w:t>
            </w:r>
          </w:p>
        </w:tc>
        <w:tc>
          <w:tcPr>
            <w:tcW w:type="dxa" w:w="7776"/>
            <w:tcMar>
              <w:top w:w="80" w:type="dxa"/>
              <w:start w:w="90" w:type="dxa"/>
              <w:bottom w:w="80" w:type="dxa"/>
              <w:end w:w="90" w:type="dxa"/>
            </w:tcMar>
            <w:vAlign w:val="top"/>
          </w:tcPr>
          <w:p>
            <w:r>
              <w:rPr>
                <w:sz w:val="17"/>
              </w:rPr>
              <w:t>Row-level locking and database transactions instead of script-level locking.</w:t>
            </w:r>
          </w:p>
        </w:tc>
      </w:tr>
      <w:tr>
        <w:tc>
          <w:tcPr>
            <w:tcW w:type="dxa" w:w="2448"/>
            <w:tcMar>
              <w:top w:w="80" w:type="dxa"/>
              <w:start w:w="90" w:type="dxa"/>
              <w:bottom w:w="80" w:type="dxa"/>
              <w:end w:w="90" w:type="dxa"/>
            </w:tcMar>
            <w:vAlign w:val="top"/>
          </w:tcPr>
          <w:p>
            <w:r>
              <w:rPr>
                <w:sz w:val="17"/>
              </w:rPr>
              <w:t>Admin register</w:t>
            </w:r>
          </w:p>
        </w:tc>
        <w:tc>
          <w:tcPr>
            <w:tcW w:type="dxa" w:w="7776"/>
            <w:tcMar>
              <w:top w:w="80" w:type="dxa"/>
              <w:start w:w="90" w:type="dxa"/>
              <w:bottom w:w="80" w:type="dxa"/>
              <w:end w:w="90" w:type="dxa"/>
            </w:tcMar>
            <w:vAlign w:val="top"/>
          </w:tcPr>
          <w:p>
            <w:r>
              <w:rPr>
                <w:sz w:val="17"/>
              </w:rPr>
              <w:t>SQL pagination/filtering/sorting across indexed columns.</w:t>
            </w:r>
          </w:p>
        </w:tc>
      </w:tr>
      <w:tr>
        <w:tc>
          <w:tcPr>
            <w:tcW w:type="dxa" w:w="2448"/>
            <w:tcMar>
              <w:top w:w="80" w:type="dxa"/>
              <w:start w:w="90" w:type="dxa"/>
              <w:bottom w:w="80" w:type="dxa"/>
              <w:end w:w="90" w:type="dxa"/>
            </w:tcMar>
            <w:vAlign w:val="top"/>
          </w:tcPr>
          <w:p>
            <w:r>
              <w:rPr>
                <w:sz w:val="17"/>
              </w:rPr>
              <w:t>Field notes</w:t>
            </w:r>
          </w:p>
        </w:tc>
        <w:tc>
          <w:tcPr>
            <w:tcW w:type="dxa" w:w="7776"/>
            <w:tcMar>
              <w:top w:w="80" w:type="dxa"/>
              <w:start w:w="90" w:type="dxa"/>
              <w:bottom w:w="80" w:type="dxa"/>
              <w:end w:w="90" w:type="dxa"/>
            </w:tcMar>
            <w:vAlign w:val="top"/>
          </w:tcPr>
          <w:p>
            <w:r>
              <w:rPr>
                <w:sz w:val="17"/>
              </w:rPr>
              <w:t>Indexed join/query by FMR line instead of spreadsheet row scans.</w:t>
            </w:r>
          </w:p>
        </w:tc>
      </w:tr>
      <w:tr>
        <w:tc>
          <w:tcPr>
            <w:tcW w:type="dxa" w:w="2448"/>
            <w:tcMar>
              <w:top w:w="80" w:type="dxa"/>
              <w:start w:w="90" w:type="dxa"/>
              <w:bottom w:w="80" w:type="dxa"/>
              <w:end w:w="90" w:type="dxa"/>
            </w:tcMar>
            <w:vAlign w:val="top"/>
          </w:tcPr>
          <w:p>
            <w:r>
              <w:rPr>
                <w:sz w:val="17"/>
              </w:rPr>
              <w:t>Backorder queues</w:t>
            </w:r>
          </w:p>
        </w:tc>
        <w:tc>
          <w:tcPr>
            <w:tcW w:type="dxa" w:w="7776"/>
            <w:tcMar>
              <w:top w:w="80" w:type="dxa"/>
              <w:start w:w="90" w:type="dxa"/>
              <w:bottom w:w="80" w:type="dxa"/>
              <w:end w:w="90" w:type="dxa"/>
            </w:tcMar>
            <w:vAlign w:val="top"/>
          </w:tcPr>
          <w:p>
            <w:r>
              <w:rPr>
                <w:sz w:val="17"/>
              </w:rPr>
              <w:t>Partial indexes and status queries; no Operational_Index maintenance.</w:t>
            </w:r>
          </w:p>
        </w:tc>
      </w:tr>
      <w:tr>
        <w:tc>
          <w:tcPr>
            <w:tcW w:type="dxa" w:w="2448"/>
            <w:tcMar>
              <w:top w:w="80" w:type="dxa"/>
              <w:start w:w="90" w:type="dxa"/>
              <w:bottom w:w="80" w:type="dxa"/>
              <w:end w:w="90" w:type="dxa"/>
            </w:tcMar>
            <w:vAlign w:val="top"/>
          </w:tcPr>
          <w:p>
            <w:r>
              <w:rPr>
                <w:sz w:val="17"/>
              </w:rPr>
              <w:t>Imports</w:t>
            </w:r>
          </w:p>
        </w:tc>
        <w:tc>
          <w:tcPr>
            <w:tcW w:type="dxa" w:w="7776"/>
            <w:tcMar>
              <w:top w:w="80" w:type="dxa"/>
              <w:start w:w="90" w:type="dxa"/>
              <w:bottom w:w="80" w:type="dxa"/>
              <w:end w:w="90" w:type="dxa"/>
            </w:tcMar>
            <w:vAlign w:val="top"/>
          </w:tcPr>
          <w:p>
            <w:r>
              <w:rPr>
                <w:sz w:val="17"/>
              </w:rPr>
              <w:t>Asynchronous worker jobs without a six-minute Apps Script execution ceiling.</w:t>
            </w:r>
          </w:p>
        </w:tc>
      </w:tr>
      <w:tr>
        <w:tc>
          <w:tcPr>
            <w:tcW w:type="dxa" w:w="2448"/>
            <w:tcMar>
              <w:top w:w="80" w:type="dxa"/>
              <w:start w:w="90" w:type="dxa"/>
              <w:bottom w:w="80" w:type="dxa"/>
              <w:end w:w="90" w:type="dxa"/>
            </w:tcMar>
            <w:vAlign w:val="top"/>
          </w:tcPr>
          <w:p>
            <w:r>
              <w:rPr>
                <w:sz w:val="17"/>
              </w:rPr>
              <w:t>Monitoring</w:t>
            </w:r>
          </w:p>
        </w:tc>
        <w:tc>
          <w:tcPr>
            <w:tcW w:type="dxa" w:w="7776"/>
            <w:tcMar>
              <w:top w:w="80" w:type="dxa"/>
              <w:start w:w="90" w:type="dxa"/>
              <w:bottom w:w="80" w:type="dxa"/>
              <w:end w:w="90" w:type="dxa"/>
            </w:tcMar>
            <w:vAlign w:val="top"/>
          </w:tcPr>
          <w:p>
            <w:r>
              <w:rPr>
                <w:sz w:val="17"/>
              </w:rPr>
              <w:t>Request latency/error metrics and alerting built into Cloud Run/Cloud Monitoring.</w:t>
            </w:r>
          </w:p>
        </w:tc>
      </w:tr>
    </w:tbl>
    <w:p>
      <w:pPr>
        <w:pStyle w:val="Heading1"/>
      </w:pPr>
      <w:r>
        <w:t>24. Cost and Sizing Approach</w:t>
      </w:r>
    </w:p>
    <w:p>
      <w:r>
        <w:t>Do not size the first Cloud SQL instance for hypothetical enterprise scale. Current data volume is very small. Start with a modest non-HA DEV instance and a production configuration appropriate to business criticality, then measure.</w:t>
      </w:r>
    </w:p>
    <w:p>
      <w:pPr>
        <w:pStyle w:val="ListBullet"/>
        <w:spacing w:after="40"/>
      </w:pPr>
      <w:r>
        <w:t>DEV can use the lowest practical Cloud SQL tier and scale-to-zero Cloud Run behavior.</w:t>
      </w:r>
    </w:p>
    <w:p>
      <w:pPr>
        <w:pStyle w:val="ListBullet"/>
        <w:spacing w:after="40"/>
      </w:pPr>
      <w:r>
        <w:t>PROD should use automated backups and PITR from day one; high availability can be enabled based on downtime requirements.</w:t>
      </w:r>
    </w:p>
    <w:p>
      <w:pPr>
        <w:pStyle w:val="ListBullet"/>
        <w:spacing w:after="40"/>
      </w:pPr>
      <w:r>
        <w:t>Cap Cloud Run maximum instances initially to protect Cloud SQL connection limits and cost.</w:t>
      </w:r>
    </w:p>
    <w:p>
      <w:pPr>
        <w:pStyle w:val="ListBullet"/>
        <w:spacing w:after="40"/>
      </w:pPr>
      <w:r>
        <w:t>Use connection pooling and set per-instance pool size deliberately.</w:t>
      </w:r>
    </w:p>
    <w:p>
      <w:pPr>
        <w:pStyle w:val="ListBullet"/>
        <w:spacing w:after="40"/>
      </w:pPr>
      <w:r>
        <w:t>Measure real request volume, p95 latency, DB CPU, connections, and storage growth before increasing capacity.</w:t>
      </w:r>
    </w:p>
    <w:p>
      <w:pPr>
        <w:pStyle w:val="Heading1"/>
      </w:pPr>
      <w:r>
        <w:t>25. Decision Gates Before Building</w:t>
      </w:r>
    </w:p>
    <w:tbl>
      <w:tblPr>
        <w:tblStyle w:val="TableGrid"/>
        <w:tblW w:type="auto" w:w="0"/>
        <w:jc w:val="center"/>
        <w:tblLook w:firstColumn="1" w:firstRow="1" w:lastColumn="0" w:lastRow="0" w:noHBand="0" w:noVBand="1" w:val="04A0"/>
      </w:tblPr>
      <w:tblGrid>
        <w:gridCol w:w="5083"/>
        <w:gridCol w:w="5083"/>
      </w:tblGrid>
      <w:tr>
        <w:tc>
          <w:tcPr>
            <w:tcW w:type="dxa" w:w="2880"/>
            <w:shd w:fill="17365D"/>
            <w:tcMar>
              <w:top w:w="80" w:type="dxa"/>
              <w:start w:w="90" w:type="dxa"/>
              <w:bottom w:w="80" w:type="dxa"/>
              <w:end w:w="90" w:type="dxa"/>
            </w:tcMar>
          </w:tcPr>
          <w:p>
            <w:r>
              <w:rPr>
                <w:b/>
                <w:color w:val="FFFFFF"/>
                <w:sz w:val="17"/>
              </w:rPr>
              <w:t>Decision</w:t>
            </w:r>
          </w:p>
        </w:tc>
        <w:tc>
          <w:tcPr>
            <w:tcW w:type="dxa" w:w="7344"/>
            <w:shd w:fill="17365D"/>
            <w:tcMar>
              <w:top w:w="80" w:type="dxa"/>
              <w:start w:w="90" w:type="dxa"/>
              <w:bottom w:w="80" w:type="dxa"/>
              <w:end w:w="90" w:type="dxa"/>
            </w:tcMar>
          </w:tcPr>
          <w:p>
            <w:r>
              <w:rPr>
                <w:b/>
                <w:color w:val="FFFFFF"/>
                <w:sz w:val="17"/>
              </w:rPr>
              <w:t>Options / question for leadership</w:t>
            </w:r>
          </w:p>
        </w:tc>
      </w:tr>
      <w:tr>
        <w:tc>
          <w:tcPr>
            <w:tcW w:type="dxa" w:w="2880"/>
            <w:tcMar>
              <w:top w:w="80" w:type="dxa"/>
              <w:start w:w="90" w:type="dxa"/>
              <w:bottom w:w="80" w:type="dxa"/>
              <w:end w:w="90" w:type="dxa"/>
            </w:tcMar>
            <w:vAlign w:val="top"/>
          </w:tcPr>
          <w:p>
            <w:r>
              <w:rPr>
                <w:sz w:val="17"/>
              </w:rPr>
              <w:t>Database engine</w:t>
            </w:r>
          </w:p>
        </w:tc>
        <w:tc>
          <w:tcPr>
            <w:tcW w:type="dxa" w:w="7344"/>
            <w:tcMar>
              <w:top w:w="80" w:type="dxa"/>
              <w:start w:w="90" w:type="dxa"/>
              <w:bottom w:w="80" w:type="dxa"/>
              <w:end w:w="90" w:type="dxa"/>
            </w:tcMar>
            <w:vAlign w:val="top"/>
          </w:tcPr>
          <w:p>
            <w:r>
              <w:rPr>
                <w:sz w:val="17"/>
              </w:rPr>
              <w:t>PostgreSQL preferred; MySQL if mandated by enterprise standards.</w:t>
            </w:r>
          </w:p>
        </w:tc>
      </w:tr>
      <w:tr>
        <w:tc>
          <w:tcPr>
            <w:tcW w:type="dxa" w:w="2880"/>
            <w:tcMar>
              <w:top w:w="80" w:type="dxa"/>
              <w:start w:w="90" w:type="dxa"/>
              <w:bottom w:w="80" w:type="dxa"/>
              <w:end w:w="90" w:type="dxa"/>
            </w:tcMar>
            <w:vAlign w:val="top"/>
          </w:tcPr>
          <w:p>
            <w:r>
              <w:rPr>
                <w:sz w:val="17"/>
              </w:rPr>
              <w:t>Hosting ownership</w:t>
            </w:r>
          </w:p>
        </w:tc>
        <w:tc>
          <w:tcPr>
            <w:tcW w:type="dxa" w:w="7344"/>
            <w:tcMar>
              <w:top w:w="80" w:type="dxa"/>
              <w:start w:w="90" w:type="dxa"/>
              <w:bottom w:w="80" w:type="dxa"/>
              <w:end w:w="90" w:type="dxa"/>
            </w:tcMar>
            <w:vAlign w:val="top"/>
          </w:tcPr>
          <w:p>
            <w:r>
              <w:rPr>
                <w:sz w:val="17"/>
              </w:rPr>
              <w:t>Turner-managed Google Cloud organization/project vs individual/personal cloud account.</w:t>
            </w:r>
          </w:p>
        </w:tc>
      </w:tr>
      <w:tr>
        <w:tc>
          <w:tcPr>
            <w:tcW w:type="dxa" w:w="2880"/>
            <w:tcMar>
              <w:top w:w="80" w:type="dxa"/>
              <w:start w:w="90" w:type="dxa"/>
              <w:bottom w:w="80" w:type="dxa"/>
              <w:end w:w="90" w:type="dxa"/>
            </w:tcMar>
            <w:vAlign w:val="top"/>
          </w:tcPr>
          <w:p>
            <w:r>
              <w:rPr>
                <w:sz w:val="17"/>
              </w:rPr>
              <w:t>User identity</w:t>
            </w:r>
          </w:p>
        </w:tc>
        <w:tc>
          <w:tcPr>
            <w:tcW w:type="dxa" w:w="7344"/>
            <w:tcMar>
              <w:top w:w="80" w:type="dxa"/>
              <w:start w:w="90" w:type="dxa"/>
              <w:bottom w:w="80" w:type="dxa"/>
              <w:end w:w="90" w:type="dxa"/>
            </w:tcMar>
            <w:vAlign w:val="top"/>
          </w:tcPr>
          <w:p>
            <w:r>
              <w:rPr>
                <w:sz w:val="17"/>
              </w:rPr>
              <w:t>Internal Turner Workspace only vs external partners also need access.</w:t>
            </w:r>
          </w:p>
        </w:tc>
      </w:tr>
      <w:tr>
        <w:tc>
          <w:tcPr>
            <w:tcW w:type="dxa" w:w="2880"/>
            <w:tcMar>
              <w:top w:w="80" w:type="dxa"/>
              <w:start w:w="90" w:type="dxa"/>
              <w:bottom w:w="80" w:type="dxa"/>
              <w:end w:w="90" w:type="dxa"/>
            </w:tcMar>
            <w:vAlign w:val="top"/>
          </w:tcPr>
          <w:p>
            <w:r>
              <w:rPr>
                <w:sz w:val="17"/>
              </w:rPr>
              <w:t>Tenant isolation</w:t>
            </w:r>
          </w:p>
        </w:tc>
        <w:tc>
          <w:tcPr>
            <w:tcW w:type="dxa" w:w="7344"/>
            <w:tcMar>
              <w:top w:w="80" w:type="dxa"/>
              <w:start w:w="90" w:type="dxa"/>
              <w:bottom w:w="80" w:type="dxa"/>
              <w:end w:w="90" w:type="dxa"/>
            </w:tcMar>
            <w:vAlign w:val="top"/>
          </w:tcPr>
          <w:p>
            <w:r>
              <w:rPr>
                <w:sz w:val="17"/>
              </w:rPr>
              <w:t>Shared multi-project DB with project_id vs dedicated DB per major client/project.</w:t>
            </w:r>
          </w:p>
        </w:tc>
      </w:tr>
      <w:tr>
        <w:tc>
          <w:tcPr>
            <w:tcW w:type="dxa" w:w="2880"/>
            <w:tcMar>
              <w:top w:w="80" w:type="dxa"/>
              <w:start w:w="90" w:type="dxa"/>
              <w:bottom w:w="80" w:type="dxa"/>
              <w:end w:w="90" w:type="dxa"/>
            </w:tcMar>
            <w:vAlign w:val="top"/>
          </w:tcPr>
          <w:p>
            <w:r>
              <w:rPr>
                <w:sz w:val="17"/>
              </w:rPr>
              <w:t>Availability target</w:t>
            </w:r>
          </w:p>
        </w:tc>
        <w:tc>
          <w:tcPr>
            <w:tcW w:type="dxa" w:w="7344"/>
            <w:tcMar>
              <w:top w:w="80" w:type="dxa"/>
              <w:start w:w="90" w:type="dxa"/>
              <w:bottom w:w="80" w:type="dxa"/>
              <w:end w:w="90" w:type="dxa"/>
            </w:tcMar>
            <w:vAlign w:val="top"/>
          </w:tcPr>
          <w:p>
            <w:r>
              <w:rPr>
                <w:sz w:val="17"/>
              </w:rPr>
              <w:t>Best-effort internal tool vs defined business-critical SLA/HA requirement.</w:t>
            </w:r>
          </w:p>
        </w:tc>
      </w:tr>
      <w:tr>
        <w:tc>
          <w:tcPr>
            <w:tcW w:type="dxa" w:w="2880"/>
            <w:tcMar>
              <w:top w:w="80" w:type="dxa"/>
              <w:start w:w="90" w:type="dxa"/>
              <w:bottom w:w="80" w:type="dxa"/>
              <w:end w:w="90" w:type="dxa"/>
            </w:tcMar>
            <w:vAlign w:val="top"/>
          </w:tcPr>
          <w:p>
            <w:r>
              <w:rPr>
                <w:sz w:val="17"/>
              </w:rPr>
              <w:t>Data retention</w:t>
            </w:r>
          </w:p>
        </w:tc>
        <w:tc>
          <w:tcPr>
            <w:tcW w:type="dxa" w:w="7344"/>
            <w:tcMar>
              <w:top w:w="80" w:type="dxa"/>
              <w:start w:w="90" w:type="dxa"/>
              <w:bottom w:w="80" w:type="dxa"/>
              <w:end w:w="90" w:type="dxa"/>
            </w:tcMar>
            <w:vAlign w:val="top"/>
          </w:tcPr>
          <w:p>
            <w:r>
              <w:rPr>
                <w:sz w:val="17"/>
              </w:rPr>
              <w:t>How long to retain transactions, audit, imports, and backups.</w:t>
            </w:r>
          </w:p>
        </w:tc>
      </w:tr>
      <w:tr>
        <w:tc>
          <w:tcPr>
            <w:tcW w:type="dxa" w:w="2880"/>
            <w:tcMar>
              <w:top w:w="80" w:type="dxa"/>
              <w:start w:w="90" w:type="dxa"/>
              <w:bottom w:w="80" w:type="dxa"/>
              <w:end w:w="90" w:type="dxa"/>
            </w:tcMar>
            <w:vAlign w:val="top"/>
          </w:tcPr>
          <w:p>
            <w:r>
              <w:rPr>
                <w:sz w:val="17"/>
              </w:rPr>
              <w:t>Compliance/security</w:t>
            </w:r>
          </w:p>
        </w:tc>
        <w:tc>
          <w:tcPr>
            <w:tcW w:type="dxa" w:w="7344"/>
            <w:tcMar>
              <w:top w:w="80" w:type="dxa"/>
              <w:start w:w="90" w:type="dxa"/>
              <w:bottom w:w="80" w:type="dxa"/>
              <w:end w:w="90" w:type="dxa"/>
            </w:tcMar>
            <w:vAlign w:val="top"/>
          </w:tcPr>
          <w:p>
            <w:r>
              <w:rPr>
                <w:sz w:val="17"/>
              </w:rPr>
              <w:t>Whether client/project data requires specific region, CMEK, audit retention, or external review.</w:t>
            </w:r>
          </w:p>
        </w:tc>
      </w:tr>
      <w:tr>
        <w:tc>
          <w:tcPr>
            <w:tcW w:type="dxa" w:w="2880"/>
            <w:tcMar>
              <w:top w:w="80" w:type="dxa"/>
              <w:start w:w="90" w:type="dxa"/>
              <w:bottom w:w="80" w:type="dxa"/>
              <w:end w:w="90" w:type="dxa"/>
            </w:tcMar>
            <w:vAlign w:val="top"/>
          </w:tcPr>
          <w:p>
            <w:r>
              <w:rPr>
                <w:sz w:val="17"/>
              </w:rPr>
              <w:t>UI transition</w:t>
            </w:r>
          </w:p>
        </w:tc>
        <w:tc>
          <w:tcPr>
            <w:tcW w:type="dxa" w:w="7344"/>
            <w:tcMar>
              <w:top w:w="80" w:type="dxa"/>
              <w:start w:w="90" w:type="dxa"/>
              <w:bottom w:w="80" w:type="dxa"/>
              <w:end w:w="90" w:type="dxa"/>
            </w:tcMar>
            <w:vAlign w:val="top"/>
          </w:tcPr>
          <w:p>
            <w:r>
              <w:rPr>
                <w:sz w:val="17"/>
              </w:rPr>
              <w:t>Rebuild full web app now vs backend-first with later UI replacement.</w:t>
            </w:r>
          </w:p>
        </w:tc>
      </w:tr>
    </w:tbl>
    <w:p>
      <w:pPr>
        <w:pStyle w:val="Heading1"/>
      </w:pPr>
      <w:r>
        <w:t>26. Recommended Immediate Next Work (No Production Cutover Yet)</w:t>
      </w:r>
    </w:p>
    <w:p>
      <w:pPr>
        <w:pStyle w:val="ListNumber"/>
        <w:spacing w:after="40"/>
      </w:pPr>
      <w:r>
        <w:t>Close current operational housekeeping: clear stale maintenance message; align APP_VERSION; install/prove backup/health schedule.</w:t>
      </w:r>
    </w:p>
    <w:p>
      <w:pPr>
        <w:pStyle w:val="ListNumber"/>
        <w:spacing w:after="40"/>
      </w:pPr>
      <w:r>
        <w:t>Create a formal GitHub release tag for Alpha 30.5/30.5.1 and capture the current Production schema/count snapshot.</w:t>
      </w:r>
    </w:p>
    <w:p>
      <w:pPr>
        <w:pStyle w:val="ListNumber"/>
        <w:spacing w:after="40"/>
      </w:pPr>
      <w:r>
        <w:t>Create a new GCP DEV project under the correct Turner-owned organization/billing account.</w:t>
      </w:r>
    </w:p>
    <w:p>
      <w:pPr>
        <w:pStyle w:val="ListNumber"/>
        <w:spacing w:after="40"/>
      </w:pPr>
      <w:r>
        <w:t>Build the PostgreSQL target schema and migration tests in a branch without touching Production.</w:t>
      </w:r>
    </w:p>
    <w:p>
      <w:pPr>
        <w:pStyle w:val="ListNumber"/>
        <w:spacing w:after="40"/>
      </w:pPr>
      <w:r>
        <w:t>Create an automated read-only exporter from the Production spreadsheet into DEV Cloud SQL.</w:t>
      </w:r>
    </w:p>
    <w:p>
      <w:pPr>
        <w:pStyle w:val="ListNumber"/>
        <w:spacing w:after="40"/>
      </w:pPr>
      <w:r>
        <w:t>Run reconciliation reports until SQL reproduces current FMR/line/transaction/backorder state exactly.</w:t>
      </w:r>
    </w:p>
    <w:p>
      <w:pPr>
        <w:pStyle w:val="ListNumber"/>
        <w:spacing w:after="40"/>
      </w:pPr>
      <w:r>
        <w:t>Present the resulting proof of concept, cost estimate, identity model, and tenancy choice to leadership before authorizing a full application rewrite.</w:t>
      </w:r>
    </w:p>
    <w:p>
      <w:pPr>
        <w:pStyle w:val="Heading1"/>
      </w:pPr>
      <w:r>
        <w:t>27. Recommended Success Metrics</w:t>
      </w:r>
    </w:p>
    <w:tbl>
      <w:tblPr>
        <w:tblStyle w:val="TableGrid"/>
        <w:tblW w:type="auto" w:w="0"/>
        <w:jc w:val="center"/>
        <w:tblLook w:firstColumn="1" w:firstRow="1" w:lastColumn="0" w:lastRow="0" w:noHBand="0" w:noVBand="1" w:val="04A0"/>
      </w:tblPr>
      <w:tblGrid>
        <w:gridCol w:w="5083"/>
        <w:gridCol w:w="5083"/>
      </w:tblGrid>
      <w:tr>
        <w:tc>
          <w:tcPr>
            <w:tcW w:type="dxa" w:w="2232"/>
            <w:shd w:fill="17365D"/>
            <w:tcMar>
              <w:top w:w="80" w:type="dxa"/>
              <w:start w:w="90" w:type="dxa"/>
              <w:bottom w:w="80" w:type="dxa"/>
              <w:end w:w="90" w:type="dxa"/>
            </w:tcMar>
          </w:tcPr>
          <w:p>
            <w:r>
              <w:rPr>
                <w:b/>
                <w:color w:val="FFFFFF"/>
                <w:sz w:val="17"/>
              </w:rPr>
              <w:t>Category</w:t>
            </w:r>
          </w:p>
        </w:tc>
        <w:tc>
          <w:tcPr>
            <w:tcW w:type="dxa" w:w="7992"/>
            <w:shd w:fill="17365D"/>
            <w:tcMar>
              <w:top w:w="80" w:type="dxa"/>
              <w:start w:w="90" w:type="dxa"/>
              <w:bottom w:w="80" w:type="dxa"/>
              <w:end w:w="90" w:type="dxa"/>
            </w:tcMar>
          </w:tcPr>
          <w:p>
            <w:r>
              <w:rPr>
                <w:b/>
                <w:color w:val="FFFFFF"/>
                <w:sz w:val="17"/>
              </w:rPr>
              <w:t>Metric / target</w:t>
            </w:r>
          </w:p>
        </w:tc>
      </w:tr>
      <w:tr>
        <w:tc>
          <w:tcPr>
            <w:tcW w:type="dxa" w:w="2232"/>
            <w:tcMar>
              <w:top w:w="80" w:type="dxa"/>
              <w:start w:w="90" w:type="dxa"/>
              <w:bottom w:w="80" w:type="dxa"/>
              <w:end w:w="90" w:type="dxa"/>
            </w:tcMar>
            <w:vAlign w:val="top"/>
          </w:tcPr>
          <w:p>
            <w:r>
              <w:rPr>
                <w:sz w:val="17"/>
              </w:rPr>
              <w:t>Data parity</w:t>
            </w:r>
          </w:p>
        </w:tc>
        <w:tc>
          <w:tcPr>
            <w:tcW w:type="dxa" w:w="7992"/>
            <w:tcMar>
              <w:top w:w="80" w:type="dxa"/>
              <w:start w:w="90" w:type="dxa"/>
              <w:bottom w:w="80" w:type="dxa"/>
              <w:end w:w="90" w:type="dxa"/>
            </w:tcMar>
            <w:vAlign w:val="top"/>
          </w:tcPr>
          <w:p>
            <w:r>
              <w:rPr>
                <w:sz w:val="17"/>
              </w:rPr>
              <w:t>100% FMR/line IDs and requested quantities match; zero unexplained ledger/state differences.</w:t>
            </w:r>
          </w:p>
        </w:tc>
      </w:tr>
      <w:tr>
        <w:tc>
          <w:tcPr>
            <w:tcW w:type="dxa" w:w="2232"/>
            <w:tcMar>
              <w:top w:w="80" w:type="dxa"/>
              <w:start w:w="90" w:type="dxa"/>
              <w:bottom w:w="80" w:type="dxa"/>
              <w:end w:w="90" w:type="dxa"/>
            </w:tcMar>
            <w:vAlign w:val="top"/>
          </w:tcPr>
          <w:p>
            <w:r>
              <w:rPr>
                <w:sz w:val="17"/>
              </w:rPr>
              <w:t>Reliability</w:t>
            </w:r>
          </w:p>
        </w:tc>
        <w:tc>
          <w:tcPr>
            <w:tcW w:type="dxa" w:w="7992"/>
            <w:tcMar>
              <w:top w:w="80" w:type="dxa"/>
              <w:start w:w="90" w:type="dxa"/>
              <w:bottom w:w="80" w:type="dxa"/>
              <w:end w:w="90" w:type="dxa"/>
            </w:tcMar>
            <w:vAlign w:val="top"/>
          </w:tcPr>
          <w:p>
            <w:r>
              <w:rPr>
                <w:sz w:val="17"/>
              </w:rPr>
              <w:t>No double-issue under concurrent/idempotent request tests.</w:t>
            </w:r>
          </w:p>
        </w:tc>
      </w:tr>
      <w:tr>
        <w:tc>
          <w:tcPr>
            <w:tcW w:type="dxa" w:w="2232"/>
            <w:tcMar>
              <w:top w:w="80" w:type="dxa"/>
              <w:start w:w="90" w:type="dxa"/>
              <w:bottom w:w="80" w:type="dxa"/>
              <w:end w:w="90" w:type="dxa"/>
            </w:tcMar>
            <w:vAlign w:val="top"/>
          </w:tcPr>
          <w:p>
            <w:r>
              <w:rPr>
                <w:sz w:val="17"/>
              </w:rPr>
              <w:t>Performance</w:t>
            </w:r>
          </w:p>
        </w:tc>
        <w:tc>
          <w:tcPr>
            <w:tcW w:type="dxa" w:w="7992"/>
            <w:tcMar>
              <w:top w:w="80" w:type="dxa"/>
              <w:start w:w="90" w:type="dxa"/>
              <w:bottom w:w="80" w:type="dxa"/>
              <w:end w:w="90" w:type="dxa"/>
            </w:tcMar>
            <w:vAlign w:val="top"/>
          </w:tcPr>
          <w:p>
            <w:r>
              <w:rPr>
                <w:sz w:val="17"/>
              </w:rPr>
              <w:t>Define p95 targets for Field search, Admin register, and transaction submission; measure before/after.</w:t>
            </w:r>
          </w:p>
        </w:tc>
      </w:tr>
      <w:tr>
        <w:tc>
          <w:tcPr>
            <w:tcW w:type="dxa" w:w="2232"/>
            <w:tcMar>
              <w:top w:w="80" w:type="dxa"/>
              <w:start w:w="90" w:type="dxa"/>
              <w:bottom w:w="80" w:type="dxa"/>
              <w:end w:w="90" w:type="dxa"/>
            </w:tcMar>
            <w:vAlign w:val="top"/>
          </w:tcPr>
          <w:p>
            <w:r>
              <w:rPr>
                <w:sz w:val="17"/>
              </w:rPr>
              <w:t>Recovery</w:t>
            </w:r>
          </w:p>
        </w:tc>
        <w:tc>
          <w:tcPr>
            <w:tcW w:type="dxa" w:w="7992"/>
            <w:tcMar>
              <w:top w:w="80" w:type="dxa"/>
              <w:start w:w="90" w:type="dxa"/>
              <w:bottom w:w="80" w:type="dxa"/>
              <w:end w:w="90" w:type="dxa"/>
            </w:tcMar>
            <w:vAlign w:val="top"/>
          </w:tcPr>
          <w:p>
            <w:r>
              <w:rPr>
                <w:sz w:val="17"/>
              </w:rPr>
              <w:t>Documented restore drill from Cloud SQL backup/PITR.</w:t>
            </w:r>
          </w:p>
        </w:tc>
      </w:tr>
      <w:tr>
        <w:tc>
          <w:tcPr>
            <w:tcW w:type="dxa" w:w="2232"/>
            <w:tcMar>
              <w:top w:w="80" w:type="dxa"/>
              <w:start w:w="90" w:type="dxa"/>
              <w:bottom w:w="80" w:type="dxa"/>
              <w:end w:w="90" w:type="dxa"/>
            </w:tcMar>
            <w:vAlign w:val="top"/>
          </w:tcPr>
          <w:p>
            <w:r>
              <w:rPr>
                <w:sz w:val="17"/>
              </w:rPr>
              <w:t>Deployment</w:t>
            </w:r>
          </w:p>
        </w:tc>
        <w:tc>
          <w:tcPr>
            <w:tcW w:type="dxa" w:w="7992"/>
            <w:tcMar>
              <w:top w:w="80" w:type="dxa"/>
              <w:start w:w="90" w:type="dxa"/>
              <w:bottom w:w="80" w:type="dxa"/>
              <w:end w:w="90" w:type="dxa"/>
            </w:tcMar>
            <w:vAlign w:val="top"/>
          </w:tcPr>
          <w:p>
            <w:r>
              <w:rPr>
                <w:sz w:val="17"/>
              </w:rPr>
              <w:t>Repeatable DEV/STAGE/PROD deployment from Git + IaC with approval gate.</w:t>
            </w:r>
          </w:p>
        </w:tc>
      </w:tr>
      <w:tr>
        <w:tc>
          <w:tcPr>
            <w:tcW w:type="dxa" w:w="2232"/>
            <w:tcMar>
              <w:top w:w="80" w:type="dxa"/>
              <w:start w:w="90" w:type="dxa"/>
              <w:bottom w:w="80" w:type="dxa"/>
              <w:end w:w="90" w:type="dxa"/>
            </w:tcMar>
            <w:vAlign w:val="top"/>
          </w:tcPr>
          <w:p>
            <w:r>
              <w:rPr>
                <w:sz w:val="17"/>
              </w:rPr>
              <w:t>Reuse</w:t>
            </w:r>
          </w:p>
        </w:tc>
        <w:tc>
          <w:tcPr>
            <w:tcW w:type="dxa" w:w="7992"/>
            <w:tcMar>
              <w:top w:w="80" w:type="dxa"/>
              <w:start w:w="90" w:type="dxa"/>
              <w:bottom w:w="80" w:type="dxa"/>
              <w:end w:w="90" w:type="dxa"/>
            </w:tcMar>
            <w:vAlign w:val="top"/>
          </w:tcPr>
          <w:p>
            <w:r>
              <w:rPr>
                <w:sz w:val="17"/>
              </w:rPr>
              <w:t>New project onboarded by configuration/tenant creation without cloning source code.</w:t>
            </w:r>
          </w:p>
        </w:tc>
      </w:tr>
      <w:tr>
        <w:tc>
          <w:tcPr>
            <w:tcW w:type="dxa" w:w="2232"/>
            <w:tcMar>
              <w:top w:w="80" w:type="dxa"/>
              <w:start w:w="90" w:type="dxa"/>
              <w:bottom w:w="80" w:type="dxa"/>
              <w:end w:w="90" w:type="dxa"/>
            </w:tcMar>
            <w:vAlign w:val="top"/>
          </w:tcPr>
          <w:p>
            <w:r>
              <w:rPr>
                <w:sz w:val="17"/>
              </w:rPr>
              <w:t>Operations</w:t>
            </w:r>
          </w:p>
        </w:tc>
        <w:tc>
          <w:tcPr>
            <w:tcW w:type="dxa" w:w="7992"/>
            <w:tcMar>
              <w:top w:w="80" w:type="dxa"/>
              <w:start w:w="90" w:type="dxa"/>
              <w:bottom w:w="80" w:type="dxa"/>
              <w:end w:w="90" w:type="dxa"/>
            </w:tcMar>
            <w:vAlign w:val="top"/>
          </w:tcPr>
          <w:p>
            <w:r>
              <w:rPr>
                <w:sz w:val="17"/>
              </w:rPr>
              <w:t>Automated alerting for errors, failed jobs, backup failures, and stale operational conditions.</w:t>
            </w:r>
          </w:p>
        </w:tc>
      </w:tr>
    </w:tbl>
    <w:p>
      <w:pPr>
        <w:pStyle w:val="Heading1"/>
      </w:pPr>
      <w:r>
        <w:t>28. External Platform References</w:t>
      </w:r>
    </w:p>
    <w:p>
      <w:pPr>
        <w:pStyle w:val="ListBullet"/>
        <w:spacing w:after="40"/>
      </w:pPr>
      <w:r>
        <w:t>Google Apps Script quotas: https://developers.google.com/apps-script/guides/services/quotas — current documented limits include 6 minutes per execution, 30 simultaneous executions per user, and 1,000 simultaneous executions per script.</w:t>
      </w:r>
    </w:p>
    <w:p>
      <w:pPr>
        <w:pStyle w:val="ListBullet"/>
        <w:spacing w:after="40"/>
      </w:pPr>
      <w:r>
        <w:t>Cloud SQL overview: https://cloud.google.com/sql — fully managed MySQL, PostgreSQL, and SQL Server.</w:t>
      </w:r>
    </w:p>
    <w:p>
      <w:pPr>
        <w:pStyle w:val="ListBullet"/>
        <w:spacing w:after="40"/>
      </w:pPr>
      <w:r>
        <w:t>Cloud SQL PostgreSQL: https://cloud.google.com/sql/postgresql</w:t>
      </w:r>
    </w:p>
    <w:p>
      <w:pPr>
        <w:pStyle w:val="ListBullet"/>
        <w:spacing w:after="40"/>
      </w:pPr>
      <w:r>
        <w:t>Cloud SQL backups / PITR: https://docs.cloud.google.com/sql/docs/postgres/backup-recovery/backups and https://docs.cloud.google.com/sql/docs/postgres/backup-recovery/configure-pitr</w:t>
      </w:r>
    </w:p>
    <w:p>
      <w:pPr>
        <w:pStyle w:val="ListBullet"/>
        <w:spacing w:after="40"/>
      </w:pPr>
      <w:r>
        <w:t>Cloud Run concurrency/autoscaling: https://docs.cloud.google.com/run/docs/about-concurrency and https://docs.cloud.google.com/run/docs/about-instance-autoscaling</w:t>
      </w:r>
    </w:p>
    <w:p>
      <w:pPr>
        <w:pStyle w:val="ListBullet"/>
        <w:spacing w:after="40"/>
      </w:pPr>
      <w:r>
        <w:t>IAP for Cloud Run: https://docs.cloud.google.com/iap/docs/enabling-cloud-run</w:t>
      </w:r>
    </w:p>
    <w:p>
      <w:pPr>
        <w:pStyle w:val="ListBullet"/>
        <w:spacing w:after="40"/>
      </w:pPr>
      <w:r>
        <w:t>Cloud Tasks: https://docs.cloud.google.com/tasks/docs</w:t>
      </w:r>
    </w:p>
    <w:p>
      <w:pPr>
        <w:pStyle w:val="ListBullet"/>
        <w:spacing w:after="40"/>
      </w:pPr>
      <w:r>
        <w:t>Cloud Scheduler: https://docs.cloud.google.com/scheduler/docs</w:t>
      </w:r>
    </w:p>
    <w:p>
      <w:pPr>
        <w:pStyle w:val="ListBullet"/>
        <w:spacing w:after="40"/>
      </w:pPr>
      <w:r>
        <w:t>Secret Manager: https://docs.cloud.google.com/secret-manager/docs</w:t>
      </w:r>
    </w:p>
    <w:p>
      <w:pPr>
        <w:pStyle w:val="ListBullet"/>
        <w:spacing w:after="40"/>
      </w:pPr>
      <w:r>
        <w:t>Cloud Storage: https://docs.cloud.google.com/storage/docs/introduction</w:t>
      </w:r>
    </w:p>
    <w:p>
      <w:pPr>
        <w:pStyle w:val="ListBullet"/>
        <w:spacing w:after="40"/>
      </w:pPr>
      <w:r>
        <w:t>Cloud Run logging/monitoring: https://docs.cloud.google.com/run/docs/logging and https://docs.cloud.google.com/run/docs/monitoring-overview</w:t>
      </w:r>
    </w:p>
    <w:p>
      <w:pPr>
        <w:pStyle w:val="Heading1"/>
      </w:pPr>
      <w:r>
        <w:t>29. Final Recommendation</w:t>
      </w:r>
    </w:p>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b/>
                <w:color w:val="17365D"/>
              </w:rPr>
              <w:t>Recommended direction</w:t>
            </w:r>
          </w:p>
          <w:p>
            <w:pPr>
              <w:spacing w:after="0"/>
            </w:pPr>
            <w:r>
              <w:t>Keep the current Apps Script / Sheets Production system live and stable. Begin a separate Google Cloud DEV initiative using Cloud SQL PostgreSQL, Cloud Run, IAP, Cloud Storage, Cloud Tasks, Scheduler, Secret Manager, and IaC. First prove data parity and domain behavior in shadow mode. Only authorize a production cutover after the new platform reproduces the current system and leadership has approved tenancy, identity, ownership, and availability requirements.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FMR Operations v3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