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SCORECARD — Muster Answer Engine</w:t>
      </w:r>
    </w:p>
    <w:p>
      <w:r/>
      <w:r>
        <w:rPr>
          <w:b/>
        </w:rPr>
        <w:t>Self-serve security-questionnaire answer engine for small defense subcontractors</w:t>
      </w:r>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Tier</w:t>
            </w:r>
          </w:p>
        </w:tc>
        <w:tc>
          <w:tcPr>
            <w:tcW w:type="dxa" w:w="4320"/>
          </w:tcPr>
          <w:p>
            <w:r>
              <w:t>B — Promising (at the A boundary)</w:t>
            </w:r>
          </w:p>
        </w:tc>
      </w:tr>
      <w:tr>
        <w:tc>
          <w:tcPr>
            <w:tcW w:type="dxa" w:w="4320"/>
          </w:tcPr>
          <w:p>
            <w:r>
              <w:t>Objectives Weighted Score</w:t>
            </w:r>
          </w:p>
        </w:tc>
        <w:tc>
          <w:tcPr>
            <w:tcW w:type="dxa" w:w="4320"/>
          </w:tcPr>
          <w:p>
            <w:r>
              <w:t>78 / 100</w:t>
            </w:r>
          </w:p>
        </w:tc>
      </w:tr>
      <w:tr>
        <w:tc>
          <w:tcPr>
            <w:tcW w:type="dxa" w:w="4320"/>
          </w:tcPr>
          <w:p>
            <w:r>
              <w:t>Legal risk-gate rating</w:t>
            </w:r>
          </w:p>
        </w:tc>
        <w:tc>
          <w:tcPr>
            <w:tcW w:type="dxa" w:w="4320"/>
          </w:tcPr>
          <w:p>
            <w:r>
              <w:t>SERIOUS BUT MANAGEABLE (not FATAL; no tier penalty)</w:t>
            </w:r>
          </w:p>
        </w:tc>
      </w:tr>
      <w:tr>
        <w:tc>
          <w:tcPr>
            <w:tcW w:type="dxa" w:w="4320"/>
          </w:tcPr>
          <w:p>
            <w:r>
              <w:t>Lowest single sub-score</w:t>
            </w:r>
          </w:p>
        </w:tc>
        <w:tc>
          <w:tcPr>
            <w:tcW w:type="dxa" w:w="4320"/>
          </w:tcPr>
          <w:p>
            <w:r>
              <w:t>5 — Competitive Analyst / "Encroachment &amp; reach-down risk"</w:t>
            </w:r>
          </w:p>
        </w:tc>
      </w:tr>
      <w:tr>
        <w:tc>
          <w:tcPr>
            <w:tcW w:type="dxa" w:w="4320"/>
          </w:tcPr>
          <w:p>
            <w:r>
              <w:t>Hard-constraint #5 (well-funded strong-tech incumbents)</w:t>
            </w:r>
          </w:p>
        </w:tc>
        <w:tc>
          <w:tcPr>
            <w:tcW w:type="dxa" w:w="4320"/>
          </w:tcPr>
          <w:p>
            <w:r>
              <w:t>NOT triggered — funded players are out-of-segment today; in-segment incumbents are sleepy/beatable; the win is out-positioning + speed, not outspending</w:t>
            </w:r>
          </w:p>
        </w:tc>
      </w:tr>
      <w:tr>
        <w:tc>
          <w:tcPr>
            <w:tcW w:type="dxa" w:w="4320"/>
          </w:tcPr>
          <w:p>
            <w:r>
              <w:t>Date</w:t>
            </w:r>
          </w:p>
        </w:tc>
        <w:tc>
          <w:tcPr>
            <w:tcW w:type="dxa" w:w="4320"/>
          </w:tcPr>
          <w:p>
            <w:r>
              <w:t>June 21, 2026</w:t>
            </w:r>
          </w:p>
        </w:tc>
      </w:tr>
    </w:tbl>
    <w:p>
      <w:pPr>
        <w:pStyle w:val="Heading3"/>
      </w:pPr>
      <w:r>
        <w:t>The 9 dimensions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Dimension</w:t>
            </w:r>
          </w:p>
        </w:tc>
        <w:tc>
          <w:tcPr>
            <w:tcW w:type="dxa" w:w="1728"/>
          </w:tcPr>
          <w:p>
            <w:r>
              <w:rPr>
                <w:b/>
              </w:rPr>
              <w:t>Wt</w:t>
            </w:r>
          </w:p>
        </w:tc>
        <w:tc>
          <w:tcPr>
            <w:tcW w:type="dxa" w:w="1728"/>
          </w:tcPr>
          <w:p>
            <w:r>
              <w:rPr>
                <w:b/>
              </w:rPr>
              <w:t>Score</w:t>
            </w:r>
          </w:p>
        </w:tc>
        <w:tc>
          <w:tcPr>
            <w:tcW w:type="dxa" w:w="1728"/>
          </w:tcPr>
          <w:p>
            <w:r>
              <w:rPr>
                <w:b/>
              </w:rPr>
              <w:t>One-line reason</w:t>
            </w:r>
          </w:p>
        </w:tc>
      </w:tr>
      <w:tr>
        <w:tc>
          <w:tcPr>
            <w:tcW w:type="dxa" w:w="1728"/>
          </w:tcPr>
          <w:p>
            <w:r>
              <w:t>1</w:t>
            </w:r>
          </w:p>
        </w:tc>
        <w:tc>
          <w:tcPr>
            <w:tcW w:type="dxa" w:w="1728"/>
          </w:tcPr>
          <w:p>
            <w:r>
              <w:t>Must-have / forcing function</w:t>
            </w:r>
          </w:p>
        </w:tc>
        <w:tc>
          <w:tcPr>
            <w:tcW w:type="dxa" w:w="1728"/>
          </w:tcPr>
          <w:p>
            <w:r>
              <w:t>25</w:t>
            </w:r>
          </w:p>
        </w:tc>
        <w:tc>
          <w:tcPr>
            <w:tcW w:type="dxa" w:w="1728"/>
          </w:tcPr>
          <w:p>
            <w:r>
              <w:t>8</w:t>
            </w:r>
          </w:p>
        </w:tc>
        <w:tc>
          <w:tcPr>
            <w:tcW w:type="dxa" w:w="1728"/>
          </w:tcPr>
          <w:p>
            <w:r>
              <w:t>Stacked forcing function — federal mandate (DFARS 7012/7019/7020) + prime contractual flow-down, hardening with CMMC L2 from Nov-2026; below 9 because Exostar CCRA erodes part of the monetized pain.</w:t>
            </w:r>
          </w:p>
        </w:tc>
      </w:tr>
      <w:tr>
        <w:tc>
          <w:tcPr>
            <w:tcW w:type="dxa" w:w="1728"/>
          </w:tcPr>
          <w:p>
            <w:r>
              <w:t>2</w:t>
            </w:r>
          </w:p>
        </w:tc>
        <w:tc>
          <w:tcPr>
            <w:tcW w:type="dxa" w:w="1728"/>
          </w:tcPr>
          <w:p>
            <w:r>
              <w:t>Competition &amp; defensibility</w:t>
            </w:r>
          </w:p>
        </w:tc>
        <w:tc>
          <w:tcPr>
            <w:tcW w:type="dxa" w:w="1728"/>
          </w:tcPr>
          <w:p>
            <w:r>
              <w:t>18</w:t>
            </w:r>
          </w:p>
        </w:tc>
        <w:tc>
          <w:tcPr>
            <w:tcW w:type="dxa" w:w="1728"/>
          </w:tcPr>
          <w:p>
            <w:r>
              <w:t>7</w:t>
            </w:r>
          </w:p>
        </w:tc>
        <w:tc>
          <w:tcPr>
            <w:tcW w:type="dxa" w:w="1728"/>
          </w:tcPr>
          <w:p>
            <w:r>
              <w:t>Named-confirmed vacant quadrant + compounding answer-history moat; contested by account-owning FutureFeed (+300-MSP channel) and a rising platform tail — clears the A-gate, not an 8.</w:t>
            </w:r>
          </w:p>
        </w:tc>
      </w:tr>
      <w:tr>
        <w:tc>
          <w:tcPr>
            <w:tcW w:type="dxa" w:w="1728"/>
          </w:tcPr>
          <w:p>
            <w:r>
              <w:t>3</w:t>
            </w:r>
          </w:p>
        </w:tc>
        <w:tc>
          <w:tcPr>
            <w:tcW w:type="dxa" w:w="1728"/>
          </w:tcPr>
          <w:p>
            <w:r>
              <w:t>Path to founder income</w:t>
            </w:r>
          </w:p>
        </w:tc>
        <w:tc>
          <w:tcPr>
            <w:tcW w:type="dxa" w:w="1728"/>
          </w:tcPr>
          <w:p>
            <w:r>
              <w:t>13</w:t>
            </w:r>
          </w:p>
        </w:tc>
        <w:tc>
          <w:tcPr>
            <w:tcW w:type="dxa" w:w="1728"/>
          </w:tcPr>
          <w:p>
            <w:r>
              <w:t>7</w:t>
            </w:r>
          </w:p>
        </w:tc>
        <w:tc>
          <w:tcPr>
            <w:tcW w:type="dxa" w:w="1728"/>
          </w:tcPr>
          <w:p>
            <w:r>
              <w:t>Clears at ~143 logos (mo12, ~$300K/founder) / ~240 (mo24, ~$500K/founder); mo24 very plausible, mo12 tight on pure PLG.</w:t>
            </w:r>
          </w:p>
        </w:tc>
      </w:tr>
      <w:tr>
        <w:tc>
          <w:tcPr>
            <w:tcW w:type="dxa" w:w="1728"/>
          </w:tcPr>
          <w:p>
            <w:r>
              <w:t>4</w:t>
            </w:r>
          </w:p>
        </w:tc>
        <w:tc>
          <w:tcPr>
            <w:tcW w:type="dxa" w:w="1728"/>
          </w:tcPr>
          <w:p>
            <w:r>
              <w:t>Recurring revenue strength</w:t>
            </w:r>
          </w:p>
        </w:tc>
        <w:tc>
          <w:tcPr>
            <w:tcW w:type="dxa" w:w="1728"/>
          </w:tcPr>
          <w:p>
            <w:r>
              <w:t>12</w:t>
            </w:r>
          </w:p>
        </w:tc>
        <w:tc>
          <w:tcPr>
            <w:tcW w:type="dxa" w:w="1728"/>
          </w:tcPr>
          <w:p>
            <w:r>
              <w:t>8</w:t>
            </w:r>
          </w:p>
        </w:tc>
        <w:tc>
          <w:tcPr>
            <w:tcW w:type="dxa" w:w="1728"/>
          </w:tcPr>
          <w:p>
            <w:r>
              <w:t>True subscription + accruing per-customer answer corpus raises switching cost; below 9 by between-forms churn risk and per-account (not network) moat.</w:t>
            </w:r>
          </w:p>
        </w:tc>
      </w:tr>
      <w:tr>
        <w:tc>
          <w:tcPr>
            <w:tcW w:type="dxa" w:w="1728"/>
          </w:tcPr>
          <w:p>
            <w:r>
              <w:t>5</w:t>
            </w:r>
          </w:p>
        </w:tc>
        <w:tc>
          <w:tcPr>
            <w:tcW w:type="dxa" w:w="1728"/>
          </w:tcPr>
          <w:p>
            <w:r>
              <w:t>Probability / demand evidence</w:t>
            </w:r>
          </w:p>
        </w:tc>
        <w:tc>
          <w:tcPr>
            <w:tcW w:type="dxa" w:w="1728"/>
          </w:tcPr>
          <w:p>
            <w:r>
              <w:t>10</w:t>
            </w:r>
          </w:p>
        </w:tc>
        <w:tc>
          <w:tcPr>
            <w:tcW w:type="dxa" w:w="1728"/>
          </w:tcPr>
          <w:p>
            <w:r>
              <w:t>7</w:t>
            </w:r>
          </w:p>
        </w:tc>
        <w:tc>
          <w:tcPr>
            <w:tcW w:type="dxa" w:w="1728"/>
          </w:tcPr>
          <w:p>
            <w:r>
              <w:t>Forced, documented demand (existing $8K–$25K/yr budgets up-market; 80K TAM &lt;1% certified); unproven 80% auto-fill + no-CTO activation hold it at 7.</w:t>
            </w:r>
          </w:p>
        </w:tc>
      </w:tr>
      <w:tr>
        <w:tc>
          <w:tcPr>
            <w:tcW w:type="dxa" w:w="1728"/>
          </w:tcPr>
          <w:p>
            <w:r>
              <w:t>6</w:t>
            </w:r>
          </w:p>
        </w:tc>
        <w:tc>
          <w:tcPr>
            <w:tcW w:type="dxa" w:w="1728"/>
          </w:tcPr>
          <w:p>
            <w:r>
              <w:t>Capital efficiency</w:t>
            </w:r>
          </w:p>
        </w:tc>
        <w:tc>
          <w:tcPr>
            <w:tcW w:type="dxa" w:w="1728"/>
          </w:tcPr>
          <w:p>
            <w:r>
              <w:t>8</w:t>
            </w:r>
          </w:p>
        </w:tc>
        <w:tc>
          <w:tcPr>
            <w:tcW w:type="dxa" w:w="1728"/>
          </w:tcPr>
          <w:p>
            <w:r>
              <w:t>9</w:t>
            </w:r>
          </w:p>
        </w:tc>
        <w:tc>
          <w:tcPr>
            <w:tcW w:type="dxa" w:w="1728"/>
          </w:tcPr>
          <w:p>
            <w:r>
              <w:t>Two founders build it; low four/five figures to launch; ~90% margin, ~1.6-mo payback; no inventory/deposits/licensing capital.</w:t>
            </w:r>
          </w:p>
        </w:tc>
      </w:tr>
      <w:tr>
        <w:tc>
          <w:tcPr>
            <w:tcW w:type="dxa" w:w="1728"/>
          </w:tcPr>
          <w:p>
            <w:r>
              <w:t>7</w:t>
            </w:r>
          </w:p>
        </w:tc>
        <w:tc>
          <w:tcPr>
            <w:tcW w:type="dxa" w:w="1728"/>
          </w:tcPr>
          <w:p>
            <w:r>
              <w:t>Operational tractability</w:t>
            </w:r>
          </w:p>
        </w:tc>
        <w:tc>
          <w:tcPr>
            <w:tcW w:type="dxa" w:w="1728"/>
          </w:tcPr>
          <w:p>
            <w:r>
              <w:t>5</w:t>
            </w:r>
          </w:p>
        </w:tc>
        <w:tc>
          <w:tcPr>
            <w:tcW w:type="dxa" w:w="1728"/>
          </w:tcPr>
          <w:p>
            <w:r>
              <w:t>8</w:t>
            </w:r>
          </w:p>
        </w:tc>
        <w:tc>
          <w:tcPr>
            <w:tcW w:type="dxa" w:w="1728"/>
          </w:tcPr>
          <w:p>
            <w:r>
              <w:t>Pure software; zero physical logistics (logistics 10, delivery 9); below 9 by the no-CTO gap-interview support seam.</w:t>
            </w:r>
          </w:p>
        </w:tc>
      </w:tr>
      <w:tr>
        <w:tc>
          <w:tcPr>
            <w:tcW w:type="dxa" w:w="1728"/>
          </w:tcPr>
          <w:p>
            <w:r>
              <w:t>8</w:t>
            </w:r>
          </w:p>
        </w:tc>
        <w:tc>
          <w:tcPr>
            <w:tcW w:type="dxa" w:w="1728"/>
          </w:tcPr>
          <w:p>
            <w:r>
              <w:t>Skill / founder fit</w:t>
            </w:r>
          </w:p>
        </w:tc>
        <w:tc>
          <w:tcPr>
            <w:tcW w:type="dxa" w:w="1728"/>
          </w:tcPr>
          <w:p>
            <w:r>
              <w:t>5</w:t>
            </w:r>
          </w:p>
        </w:tc>
        <w:tc>
          <w:tcPr>
            <w:tcW w:type="dxa" w:w="1728"/>
          </w:tcPr>
          <w:p>
            <w:r>
              <w:t>9</w:t>
            </w:r>
          </w:p>
        </w:tc>
        <w:tc>
          <w:tcPr>
            <w:tcW w:type="dxa" w:w="1728"/>
          </w:tcPr>
          <w:p>
            <w:r>
              <w:t>Marketing + software-build motion is the founders' core; one founder shipped this exact engine in production; no credential gate.</w:t>
            </w:r>
          </w:p>
        </w:tc>
      </w:tr>
      <w:tr>
        <w:tc>
          <w:tcPr>
            <w:tcW w:type="dxa" w:w="1728"/>
          </w:tcPr>
          <w:p>
            <w:r>
              <w:t>9</w:t>
            </w:r>
          </w:p>
        </w:tc>
        <w:tc>
          <w:tcPr>
            <w:tcW w:type="dxa" w:w="1728"/>
          </w:tcPr>
          <w:p>
            <w:r>
              <w:t>Scalability optionality</w:t>
            </w:r>
          </w:p>
        </w:tc>
        <w:tc>
          <w:tcPr>
            <w:tcW w:type="dxa" w:w="1728"/>
          </w:tcPr>
          <w:p>
            <w:r>
              <w:t>4</w:t>
            </w:r>
          </w:p>
        </w:tc>
        <w:tc>
          <w:tcPr>
            <w:tcW w:type="dxa" w:w="1728"/>
          </w:tcPr>
          <w:p>
            <w:r>
              <w:t>9</w:t>
            </w:r>
          </w:p>
        </w:tc>
        <w:tc>
          <w:tcPr>
            <w:tcW w:type="dxa" w:w="1728"/>
          </w:tcPr>
          <w:p>
            <w:r>
              <w:t>COGS falls as auto-fill % rises; clean acquirable asset in a consolidating category.</w:t>
            </w:r>
          </w:p>
        </w:tc>
      </w:tr>
      <w:tr>
        <w:tc>
          <w:tcPr>
            <w:tcW w:type="dxa" w:w="1728"/>
          </w:tcPr>
          <w:p>
            <w:r/>
          </w:p>
        </w:tc>
        <w:tc>
          <w:tcPr>
            <w:tcW w:type="dxa" w:w="1728"/>
          </w:tcPr>
          <w:p>
            <w:r>
              <w:t>TOTAL (weighted ÷10)</w:t>
            </w:r>
          </w:p>
        </w:tc>
        <w:tc>
          <w:tcPr>
            <w:tcW w:type="dxa" w:w="1728"/>
          </w:tcPr>
          <w:p>
            <w:r>
              <w:t>100</w:t>
            </w:r>
          </w:p>
        </w:tc>
        <w:tc>
          <w:tcPr>
            <w:tcW w:type="dxa" w:w="1728"/>
          </w:tcPr>
          <w:p>
            <w:r>
              <w:t>78/100</w:t>
            </w:r>
          </w:p>
        </w:tc>
        <w:tc>
          <w:tcPr>
            <w:tcW w:type="dxa" w:w="1728"/>
          </w:tcPr>
          <w:p>
            <w:r/>
          </w:p>
        </w:tc>
      </w:tr>
    </w:tbl>
    <w:p>
      <w:pPr>
        <w:pStyle w:val="Heading3"/>
      </w:pPr>
      <w:r>
        <w:t>Six expert averages (secondary, not the gate)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CFO</w:t>
            </w:r>
          </w:p>
        </w:tc>
        <w:tc>
          <w:tcPr>
            <w:tcW w:type="dxa" w:w="1440"/>
          </w:tcPr>
          <w:p>
            <w:r>
              <w:rPr>
                <w:b/>
              </w:rPr>
              <w:t>CMO</w:t>
            </w:r>
          </w:p>
        </w:tc>
        <w:tc>
          <w:tcPr>
            <w:tcW w:type="dxa" w:w="1440"/>
          </w:tcPr>
          <w:p>
            <w:r>
              <w:rPr>
                <w:b/>
              </w:rPr>
              <w:t>COO</w:t>
            </w:r>
          </w:p>
        </w:tc>
        <w:tc>
          <w:tcPr>
            <w:tcW w:type="dxa" w:w="1440"/>
          </w:tcPr>
          <w:p>
            <w:r>
              <w:rPr>
                <w:b/>
              </w:rPr>
              <w:t>Legal</w:t>
            </w:r>
          </w:p>
        </w:tc>
        <w:tc>
          <w:tcPr>
            <w:tcW w:type="dxa" w:w="1440"/>
          </w:tcPr>
          <w:p>
            <w:r>
              <w:rPr>
                <w:b/>
              </w:rPr>
              <w:t>CTO</w:t>
            </w:r>
          </w:p>
        </w:tc>
        <w:tc>
          <w:tcPr>
            <w:tcW w:type="dxa" w:w="1440"/>
          </w:tcPr>
          <w:p>
            <w:r>
              <w:rPr>
                <w:b/>
              </w:rPr>
              <w:t>Competitive</w:t>
            </w:r>
          </w:p>
        </w:tc>
      </w:tr>
      <w:tr>
        <w:tc>
          <w:tcPr>
            <w:tcW w:type="dxa" w:w="1440"/>
          </w:tcPr>
          <w:p>
            <w:r>
              <w:t>8.0 (GO)</w:t>
            </w:r>
          </w:p>
        </w:tc>
        <w:tc>
          <w:tcPr>
            <w:tcW w:type="dxa" w:w="1440"/>
          </w:tcPr>
          <w:p>
            <w:r>
              <w:t>7.6 (GO)</w:t>
            </w:r>
          </w:p>
        </w:tc>
        <w:tc>
          <w:tcPr>
            <w:tcW w:type="dxa" w:w="1440"/>
          </w:tcPr>
          <w:p>
            <w:r>
              <w:t>7.6 (GO)</w:t>
            </w:r>
          </w:p>
        </w:tc>
        <w:tc>
          <w:tcPr>
            <w:tcW w:type="dxa" w:w="1440"/>
          </w:tcPr>
          <w:p>
            <w:r>
              <w:t>7.8 (GO)</w:t>
            </w:r>
          </w:p>
        </w:tc>
        <w:tc>
          <w:tcPr>
            <w:tcW w:type="dxa" w:w="1440"/>
          </w:tcPr>
          <w:p>
            <w:r>
              <w:t>7.6 (GO)</w:t>
            </w:r>
          </w:p>
        </w:tc>
        <w:tc>
          <w:tcPr>
            <w:tcW w:type="dxa" w:w="1440"/>
          </w:tcPr>
          <w:p>
            <w:r>
              <w:t>6.9 (REFINE-leaning-GO)</w:t>
            </w:r>
          </w:p>
        </w:tc>
      </w:tr>
    </w:tbl>
    <w:p>
      <w:r>
        <w:t>*(5 GO / 1 REFINE-leaning-GO — the most consistent field evaluated.)*</w:t>
      </w:r>
    </w:p>
    <w:p>
      <w:r/>
      <w:r>
        <w:rPr>
          <w:b/>
        </w:rPr>
        <w:t>What moves it up a tier (B → A):</w:t>
      </w:r>
      <w:r>
        <w:t xml:space="preserve"> Return a clean pre-build activation spike (a non-technical, no-CTO owner finishes most of a *real* prime questionnaire without bouncing to their MSP, with low false-confidence) AND re-lead the positioning on the bundled, compounding answer engine the incumbents won't cannibalize (not the free SPRS hook FutureFeed already gives away). Those two move the weighted score from 78 across the 80 A-floor — it already clears both A-gates.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