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60"/>
        </w:rPr>
        <w:t>SecureControls</w:t>
      </w:r>
    </w:p>
    <w:p>
      <w:r>
        <w:rPr>
          <w:color w:val="595959"/>
          <w:sz w:val="36"/>
        </w:rPr>
        <w:t>Business Plan</w:t>
      </w:r>
    </w:p>
    <w:p>
      <w:r>
        <w:rPr>
          <w:i/>
          <w:sz w:val="24"/>
        </w:rPr>
        <w:t>Managed NIST SP 800-171 &amp; SPRS Compliance Operations for Small Defense Subcontractors</w:t>
      </w:r>
    </w:p>
    <w:p>
      <w:r>
        <w:rPr>
          <w:b/>
          <w:color w:val="1F3864"/>
          <w:sz w:val="22"/>
        </w:rPr>
        <w:t>Phase 1 launch business — with a gated Phase 2 expansion option: BeaconEnclave (managed CMMC secure enclave)</w:t>
      </w:r>
    </w:p>
    <w:p>
      <w:r>
        <w:rPr>
          <w:i/>
          <w:color w:val="595959"/>
          <w:sz w:val="19"/>
        </w:rPr>
        <w:t>Version 1.0  |  June 2026  |  Confidential — for founders and prospective advisors</w:t>
      </w:r>
    </w:p>
    <w:p/>
    <w:p>
      <w:pPr>
        <w:pStyle w:val="Heading1"/>
      </w:pPr>
      <w:r>
        <w:rPr>
          <w:color w:val="1F3864"/>
          <w:sz w:val="32"/>
        </w:rPr>
        <w:t>Executive Summary</w:t>
      </w:r>
    </w:p>
    <w:p>
      <w:pPr>
        <w:spacing w:after="160" w:before="0"/>
      </w:pPr>
      <w:r>
        <w:rPr>
          <w:b w:val="0"/>
          <w:i w:val="0"/>
          <w:sz w:val="21"/>
        </w:rPr>
        <w:t>The strategy in one paragraph. We launch with SecureControls — a lean, fast-to-revenue managed-compliance service that keeps small defense subcontractors continuously compliant with NIST SP 800-171 and keeps their SPRS score current and audit-ready. It is the main, committed initial business. Because every SecureControls customer is also a candidate for a secure CUI environment, the same customer base, the same buyer, and the same free-assessment funnel create a natural, gated path to a larger Phase 2 business — BeaconEnclave — a managed secure enclave for the employees who actually touch CUI. We build Phase 1 to stand fully on its own; Phase 2 is real optionality we earn the right to pursue, not a dependency.</w:t>
      </w:r>
    </w:p>
    <w:p>
      <w:pPr>
        <w:pStyle w:val="Heading2"/>
      </w:pPr>
      <w:r>
        <w:rPr>
          <w:color w:val="1F3864"/>
          <w:sz w:val="26"/>
        </w:rPr>
        <w:t>Phase 1 — SecureControls (the business we build now)</w:t>
      </w:r>
    </w:p>
    <w:p>
      <w:pPr>
        <w:spacing w:after="120" w:before="0"/>
      </w:pPr>
      <w:r>
        <w:rPr>
          <w:b w:val="0"/>
          <w:i w:val="0"/>
          <w:sz w:val="21"/>
        </w:rPr>
        <w:t>The opportunity. The DoD’s CMMC program is in active, phased rollout (program rule effective Dec 2024; acquisition rule DFARS 252.204-7021 effective Nov 10, 2025; mandatory Level 2 certification appearing in new CUI contracts from Nov 10, 2026). Beneath the certification event sits a permanent, recurring obligation that exists today: under DFARS 7012/7019/7020, every sub handling CUI must implement 110 controls, maintain a current SPRS score, keep an SSP and POA&amp;M current, and answer prime supplier-security questionnaires. A stale or missing SPRS score gets a supplier frozen out of purchase orders. This is a forced, recurring, budgeted buy.</w:t>
      </w:r>
    </w:p>
    <w:p>
      <w:pPr>
        <w:spacing w:after="120" w:before="0"/>
      </w:pPr>
      <w:r>
        <w:rPr>
          <w:b w:val="0"/>
          <w:i w:val="0"/>
          <w:sz w:val="21"/>
        </w:rPr>
        <w:t>The business. A productized, fixed-price recurring managed service. Customers enter through a free, AI-assisted SPRS &amp; 800-171 readiness assessment, convert to a one-time onboarding engagement, then a tier-priced monthly managed-compliance subscription (quarterly control reviews, evidence refresh, SPRS recalculation and re-posting, turnkey questionnaire responses, and C3PAO-assessment-prep support). Software does the repeatable work; a credentialed practitioner does the judgment; the founder runs the close. We are not a C3PAO and do not guarantee certification.</w:t>
      </w:r>
    </w:p>
    <w:p>
      <w:pPr>
        <w:spacing w:after="120" w:before="0"/>
      </w:pPr>
      <w:r>
        <w:rPr>
          <w:b w:val="0"/>
          <w:i w:val="0"/>
          <w:sz w:val="21"/>
        </w:rPr>
        <w:t>The defining choice. SecureControls is artifact-only: our system-of-record holds compliance evidence and attestations — never the customer’s raw CUI. That single decision keeps us out of CUI-custody and GovCloud-hosting obligations, shrinks our breach exposure, and keeps a small firm credible and insurable in a regulated adjacency.</w:t>
      </w:r>
    </w:p>
    <w:p>
      <w:pPr>
        <w:spacing w:after="120" w:before="0"/>
      </w:pPr>
      <w:r>
        <w:rPr>
          <w:b w:val="0"/>
          <w:i w:val="0"/>
          <w:sz w:val="21"/>
        </w:rPr>
        <w:t>Financial trajectory. Bootstrapped on $30K–$60K of founder capital. Per customer: $9,500–$15,000 onboarding plus $1,500–$3,500/month ($18K–$42K/yr), 70–80% steady-state gross margin once templated. Committed base case is the founder income ladder — roughly $300K distributable per founder by month 12 (~28 accounts) and ~$500K per founder by month 24 (~55 accounts plus a small analyst team). $2M combined is treated as upside, not committed.</w:t>
      </w:r>
    </w:p>
    <w:p>
      <w:pPr>
        <w:pStyle w:val="Heading2"/>
      </w:pPr>
      <w:r>
        <w:rPr>
          <w:color w:val="1F3864"/>
          <w:sz w:val="26"/>
        </w:rPr>
        <w:t>Phase 2 — BeaconEnclave (the future option, gated)</w:t>
      </w:r>
    </w:p>
    <w:p>
      <w:pPr>
        <w:spacing w:after="120" w:before="0"/>
      </w:pPr>
      <w:r>
        <w:rPr>
          <w:b w:val="0"/>
          <w:i w:val="0"/>
          <w:sz w:val="21"/>
        </w:rPr>
        <w:t>Once SecureControls has an installed base, a brand, references, and cash flow, the same customers reveal a second, larger need: a compliant place for their CUI-handling employees to work. BeaconEnclave isolates just those employees into a single hardened AWS GovCloud enclave deployed into the customer’s own tenant, streams familiar Office apps inside it, and operates the security around it — at roughly 3–5× the ACV of SecureControls. It is a different, heavier, riskier kind of business (managed infrastructure, not paperwork), so we treat it as a separate, gated bet that SecureControls earns the right to make — and we bridge to it by partner-delivering enclaves first (see Part II).</w:t>
      </w:r>
    </w:p>
    <w:p>
      <w:pPr>
        <w:spacing w:after="120" w:before="80"/>
      </w:pPr>
      <w:r>
        <w:rPr>
          <w:b w:val="0"/>
          <w:i w:val="0"/>
          <w:sz w:val="21"/>
        </w:rPr>
        <w:t>Funding ask. None. Bootstrap funded by founder capital and customer cash flow. No outside equity is sought.</w:t>
      </w:r>
    </w:p>
    <w:p>
      <w:pPr>
        <w:pStyle w:val="Heading2"/>
      </w:pPr>
      <w:r>
        <w:rPr>
          <w:color w:val="1F3864"/>
          <w:sz w:val="26"/>
        </w:rPr>
        <w:t>The Phased Strategy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19"/>
              </w:rPr>
              <w:t>Stage</w:t>
            </w:r>
          </w:p>
        </w:tc>
        <w:tc>
          <w:tcPr>
            <w:tcW w:type="dxa" w:w="3168"/>
            <w:shd w:val="clear" w:color="auto" w:fill="1F3864"/>
          </w:tcPr>
          <w:p>
            <w:r/>
            <w:r>
              <w:rPr>
                <w:b/>
                <w:color w:val="FFFFFF"/>
                <w:sz w:val="19"/>
              </w:rPr>
              <w:t>What we sell</w:t>
            </w:r>
          </w:p>
        </w:tc>
        <w:tc>
          <w:tcPr>
            <w:tcW w:type="dxa" w:w="2880"/>
            <w:shd w:val="clear" w:color="auto" w:fill="1F3864"/>
          </w:tcPr>
          <w:p>
            <w:r/>
            <w:r>
              <w:rPr>
                <w:b/>
                <w:color w:val="FFFFFF"/>
                <w:sz w:val="19"/>
              </w:rPr>
              <w:t>Build &amp; risk weight</w:t>
            </w:r>
          </w:p>
        </w:tc>
        <w:tc>
          <w:tcPr>
            <w:tcW w:type="dxa" w:w="3024"/>
            <w:shd w:val="clear" w:color="auto" w:fill="1F3864"/>
          </w:tcPr>
          <w:p>
            <w:r/>
            <w:r>
              <w:rPr>
                <w:b/>
                <w:color w:val="FFFFFF"/>
                <w:sz w:val="19"/>
              </w:rPr>
              <w:t>Why now / why next</w:t>
            </w:r>
          </w:p>
        </w:tc>
      </w:tr>
      <w:tr>
        <w:tc>
          <w:tcPr>
            <w:tcW w:type="dxa" w:w="2160"/>
          </w:tcPr>
          <w:p>
            <w:r/>
            <w:r>
              <w:rPr>
                <w:sz w:val="19"/>
              </w:rPr>
              <w:t>Phase 1 — SecureControls</w:t>
            </w:r>
          </w:p>
        </w:tc>
        <w:tc>
          <w:tcPr>
            <w:tcW w:type="dxa" w:w="3168"/>
          </w:tcPr>
          <w:p>
            <w:r/>
            <w:r>
              <w:rPr>
                <w:sz w:val="19"/>
              </w:rPr>
              <w:t>Managed 800-171 / SPRS compliance operations (artifact-only)</w:t>
            </w:r>
          </w:p>
        </w:tc>
        <w:tc>
          <w:tcPr>
            <w:tcW w:type="dxa" w:w="2880"/>
          </w:tcPr>
          <w:p>
            <w:r/>
            <w:r>
              <w:rPr>
                <w:sz w:val="19"/>
              </w:rPr>
              <w:t>Light: ~8–12 dev-weeks, low capital, low liability</w:t>
            </w:r>
          </w:p>
        </w:tc>
        <w:tc>
          <w:tcPr>
            <w:tcW w:type="dxa" w:w="3024"/>
          </w:tcPr>
          <w:p>
            <w:r/>
            <w:r>
              <w:rPr>
                <w:sz w:val="19"/>
              </w:rPr>
              <w:t>Forced recurring demand today; lands the customer and the brand</w:t>
            </w:r>
          </w:p>
        </w:tc>
      </w:tr>
      <w:tr>
        <w:tc>
          <w:tcPr>
            <w:tcW w:type="dxa" w:w="2160"/>
          </w:tcPr>
          <w:p>
            <w:r/>
            <w:r>
              <w:rPr>
                <w:sz w:val="19"/>
              </w:rPr>
              <w:t>Phase 1.5 — Partner-delivered enclave</w:t>
            </w:r>
          </w:p>
        </w:tc>
        <w:tc>
          <w:tcPr>
            <w:tcW w:type="dxa" w:w="3168"/>
          </w:tcPr>
          <w:p>
            <w:r/>
            <w:r>
              <w:rPr>
                <w:sz w:val="19"/>
              </w:rPr>
              <w:t>Resell / white-label a partner’s secure enclave to our base</w:t>
            </w:r>
          </w:p>
        </w:tc>
        <w:tc>
          <w:tcPr>
            <w:tcW w:type="dxa" w:w="2880"/>
          </w:tcPr>
          <w:p>
            <w:r/>
            <w:r>
              <w:rPr>
                <w:sz w:val="19"/>
              </w:rPr>
              <w:t>Low: no infrastructure risk; we capture margin + learn</w:t>
            </w:r>
          </w:p>
        </w:tc>
        <w:tc>
          <w:tcPr>
            <w:tcW w:type="dxa" w:w="3024"/>
          </w:tcPr>
          <w:p>
            <w:r/>
            <w:r>
              <w:rPr>
                <w:sz w:val="19"/>
              </w:rPr>
              <w:t>Validates enclave demand inside our base before we build</w:t>
            </w:r>
          </w:p>
        </w:tc>
      </w:tr>
      <w:tr>
        <w:tc>
          <w:tcPr>
            <w:tcW w:type="dxa" w:w="2160"/>
          </w:tcPr>
          <w:p>
            <w:r/>
            <w:r>
              <w:rPr>
                <w:sz w:val="19"/>
              </w:rPr>
              <w:t>Phase 2 — BeaconEnclave</w:t>
            </w:r>
          </w:p>
        </w:tc>
        <w:tc>
          <w:tcPr>
            <w:tcW w:type="dxa" w:w="3168"/>
          </w:tcPr>
          <w:p>
            <w:r/>
            <w:r>
              <w:rPr>
                <w:sz w:val="19"/>
              </w:rPr>
              <w:t>Our own managed GovCloud secure enclave (~3–5× ACV)</w:t>
            </w:r>
          </w:p>
        </w:tc>
        <w:tc>
          <w:tcPr>
            <w:tcW w:type="dxa" w:w="2880"/>
          </w:tcPr>
          <w:p>
            <w:r/>
            <w:r>
              <w:rPr>
                <w:sz w:val="19"/>
              </w:rPr>
              <w:t>Heavy: live infrastructure, security ops, higher liability</w:t>
            </w:r>
          </w:p>
        </w:tc>
        <w:tc>
          <w:tcPr>
            <w:tcW w:type="dxa" w:w="3024"/>
          </w:tcPr>
          <w:p>
            <w:r/>
            <w:r>
              <w:rPr>
                <w:sz w:val="19"/>
              </w:rPr>
              <w:t>Built only after gates pass; existing customers are the launch cohort</w:t>
            </w:r>
          </w:p>
        </w:tc>
      </w:tr>
    </w:tbl>
    <w:p>
      <w:pPr>
        <w:spacing w:after="40"/>
      </w:pPr>
    </w:p>
    <w:p>
      <w:r>
        <w:br w:type="page"/>
      </w:r>
    </w:p>
    <w:p>
      <w:r>
        <w:rPr>
          <w:b/>
          <w:color w:val="1F3864"/>
          <w:sz w:val="28"/>
        </w:rPr>
        <w:t>PART I — PHASE 1: SECURECONTROLS (THE INITIAL BUSINESS)</w:t>
      </w:r>
    </w:p>
    <w:p>
      <w:pPr>
        <w:pStyle w:val="Heading1"/>
      </w:pPr>
      <w:r>
        <w:rPr>
          <w:color w:val="1F3864"/>
          <w:sz w:val="32"/>
        </w:rPr>
        <w:t>1. Company Description</w:t>
      </w:r>
    </w:p>
    <w:p>
      <w:pPr>
        <w:pStyle w:val="Heading2"/>
      </w:pPr>
      <w:r>
        <w:rPr>
          <w:color w:val="1F3864"/>
          <w:sz w:val="26"/>
        </w:rPr>
        <w:t>What SecureControls Is</w:t>
      </w:r>
    </w:p>
    <w:p>
      <w:pPr>
        <w:spacing w:after="120" w:before="0"/>
      </w:pPr>
      <w:r>
        <w:rPr>
          <w:b w:val="0"/>
          <w:i w:val="0"/>
          <w:sz w:val="21"/>
        </w:rPr>
        <w:t>A U.S.-based managed-compliance firm providing three integrated services to small defense subcontractors:</w:t>
      </w:r>
    </w:p>
    <w:p>
      <w:pPr>
        <w:pStyle w:val="ListBullet"/>
        <w:spacing w:after="60"/>
      </w:pPr>
      <w:r>
        <w:rPr>
          <w:b/>
        </w:rPr>
        <w:t xml:space="preserve">A free, AI-assisted SPRS &amp; 800-171 readiness assessment </w:t>
      </w:r>
      <w:r>
        <w:t>— a personalized gap analysis against the 110 Level 2 control objectives and an honest current/target SPRS estimate.</w:t>
      </w:r>
    </w:p>
    <w:p>
      <w:pPr>
        <w:pStyle w:val="ListBullet"/>
        <w:spacing w:after="60"/>
      </w:pPr>
      <w:r>
        <w:rPr>
          <w:b/>
        </w:rPr>
        <w:t xml:space="preserve">A fixed-scope onboarding engagement (4–8 weeks) </w:t>
      </w:r>
      <w:r>
        <w:t>— documented gap assessment, non-expert-readable remediation plan, baseline SSP and POA&amp;M, the initial SPRS calculation and posting package, and system-of-record setup.</w:t>
      </w:r>
    </w:p>
    <w:p>
      <w:pPr>
        <w:pStyle w:val="ListBullet"/>
        <w:spacing w:after="60"/>
      </w:pPr>
      <w:r>
        <w:rPr>
          <w:b/>
        </w:rPr>
        <w:t xml:space="preserve">Ongoing managed-compliance operations </w:t>
      </w:r>
      <w:r>
        <w:t>— quarterly control reviews, evidence refresh, SPRS recalculation and re-posting, turnkey prime-questionnaire responses, POA&amp;M tracking, and C3PAO-assessment-prep support within defined limits.</w:t>
      </w:r>
    </w:p>
    <w:p>
      <w:pPr>
        <w:pStyle w:val="Heading2"/>
      </w:pPr>
      <w:r>
        <w:rPr>
          <w:color w:val="1F3864"/>
          <w:sz w:val="26"/>
        </w:rPr>
        <w:t>The Defining Architectural Choice: Artifact-Only, Never CUI</w:t>
      </w:r>
    </w:p>
    <w:p>
      <w:pPr>
        <w:spacing w:after="120" w:before="0"/>
      </w:pPr>
      <w:r>
        <w:rPr>
          <w:b w:val="0"/>
          <w:i w:val="0"/>
          <w:sz w:val="21"/>
        </w:rPr>
        <w:t>Our system-of-record holds compliance artifacts and attestation evidence — policies, control status, POA&amp;M items, SSP sections, questionnaire answers, configuration evidence — and never the customer’s raw CUI, which is blocked from the platform by design and by contract and stays in the customer’s own environment. This keeps us out of CUI-custody obligations, out of GovCloud/CMMC-hosting requirements on our own infrastructure, and dramatically shrinks our breach blast radius.</w:t>
      </w:r>
    </w:p>
    <w:p>
      <w:pPr>
        <w:pStyle w:val="Heading2"/>
      </w:pPr>
      <w:r>
        <w:rPr>
          <w:color w:val="1F3864"/>
          <w:sz w:val="26"/>
        </w:rPr>
        <w:t>What SecureControls Is Not</w:t>
      </w:r>
    </w:p>
    <w:p>
      <w:pPr>
        <w:pStyle w:val="ListBullet"/>
        <w:spacing w:after="60"/>
      </w:pPr>
      <w:r>
        <w:rPr>
          <w:b/>
        </w:rPr>
        <w:t xml:space="preserve">Not a C3PAO. </w:t>
      </w:r>
      <w:r>
        <w:t>We prepare; we do not assess or guarantee certification.</w:t>
      </w:r>
    </w:p>
    <w:p>
      <w:pPr>
        <w:pStyle w:val="ListBullet"/>
        <w:spacing w:after="60"/>
      </w:pPr>
      <w:r>
        <w:rPr>
          <w:b/>
        </w:rPr>
        <w:t xml:space="preserve">Not a cloud or enclave provider (in Phase 1). </w:t>
      </w:r>
      <w:r>
        <w:t>We do not host CUI or run the secure environment; we coordinate with or refer to an enclave/GCC High partner.</w:t>
      </w:r>
    </w:p>
    <w:p>
      <w:pPr>
        <w:pStyle w:val="ListBullet"/>
        <w:spacing w:after="60"/>
      </w:pPr>
      <w:r>
        <w:rPr>
          <w:b/>
        </w:rPr>
        <w:t xml:space="preserve">Not a general MSP. </w:t>
      </w:r>
      <w:r>
        <w:t>No help desk, endpoints, or general IT.</w:t>
      </w:r>
    </w:p>
    <w:p>
      <w:pPr>
        <w:pStyle w:val="ListBullet"/>
        <w:spacing w:after="60"/>
      </w:pPr>
      <w:r>
        <w:rPr>
          <w:b/>
        </w:rPr>
        <w:t xml:space="preserve">Not a law firm. </w:t>
      </w:r>
      <w:r>
        <w:t>No legal advice; customers retain counsel.</w:t>
      </w:r>
    </w:p>
    <w:p>
      <w:pPr>
        <w:pStyle w:val="Heading2"/>
      </w:pPr>
      <w:r>
        <w:rPr>
          <w:color w:val="1F3864"/>
          <w:sz w:val="26"/>
        </w:rPr>
        <w:t>Operating Principles</w:t>
      </w:r>
    </w:p>
    <w:p>
      <w:pPr>
        <w:pStyle w:val="ListBullet"/>
        <w:spacing w:after="60"/>
      </w:pPr>
      <w:r>
        <w:t>We sell a maintained SPRS score and audit-readiness, not software.</w:t>
      </w:r>
    </w:p>
    <w:p>
      <w:pPr>
        <w:pStyle w:val="ListBullet"/>
        <w:spacing w:after="60"/>
      </w:pPr>
      <w:r>
        <w:t>One productized delivery spine; published, fixed pricing.</w:t>
      </w:r>
    </w:p>
    <w:p>
      <w:pPr>
        <w:pStyle w:val="ListBullet"/>
        <w:spacing w:after="60"/>
      </w:pPr>
      <w:r>
        <w:t>Artifact-only: compliance evidence lives with us; CUI never does.</w:t>
      </w:r>
    </w:p>
    <w:p>
      <w:pPr>
        <w:pStyle w:val="ListBullet"/>
        <w:spacing w:after="60"/>
      </w:pPr>
      <w:r>
        <w:t>The customer attests and signs every government representation; we prepare the evidence behind it.</w:t>
      </w:r>
    </w:p>
    <w:p>
      <w:pPr>
        <w:pStyle w:val="ListBullet"/>
        <w:spacing w:after="60"/>
      </w:pPr>
      <w:r>
        <w:t>No certification promises. Disciplined exclusions — out-of-scope work is referred or change-ordered.</w:t>
      </w:r>
    </w:p>
    <w:p>
      <w:pPr>
        <w:pStyle w:val="Heading2"/>
      </w:pPr>
      <w:r>
        <w:rPr>
          <w:color w:val="1F3864"/>
          <w:sz w:val="26"/>
        </w:rPr>
        <w:t>Legal Structure</w:t>
      </w:r>
    </w:p>
    <w:p>
      <w:pPr>
        <w:spacing w:after="120" w:before="0"/>
      </w:pPr>
      <w:r>
        <w:rPr>
          <w:b w:val="0"/>
          <w:i w:val="0"/>
          <w:sz w:val="21"/>
        </w:rPr>
        <w:t>A Delaware entity (C-corp or LLC, finalized with tax counsel), foreign-qualified where employees are based. We pursue voluntary CyberAB Registered Provider Organization (RPO) designation in year one, and a named RP / CMMC-certified practitioner reviews all SPRS-affecting work product.</w:t>
      </w:r>
    </w:p>
    <w:p>
      <w:pPr>
        <w:pStyle w:val="Heading1"/>
      </w:pPr>
      <w:r>
        <w:rPr>
          <w:color w:val="1F3864"/>
          <w:sz w:val="32"/>
        </w:rPr>
        <w:t>2. Market Analysis</w:t>
      </w:r>
    </w:p>
    <w:p>
      <w:pPr>
        <w:pStyle w:val="Heading2"/>
      </w:pPr>
      <w:r>
        <w:rPr>
          <w:color w:val="1F3864"/>
          <w:sz w:val="26"/>
        </w:rPr>
        <w:t>Market Size and Shape</w:t>
      </w:r>
    </w:p>
    <w:p>
      <w:pPr>
        <w:spacing w:after="120" w:before="0"/>
      </w:pPr>
      <w:r>
        <w:rPr>
          <w:b w:val="0"/>
          <w:i w:val="0"/>
          <w:sz w:val="21"/>
        </w:rPr>
        <w:t>The Defense Industrial Base exceeds 100,000 companies; DoD analyses estimate ~80,000 will require CMMC Level 2. The obligation is already live and becomes permanent:</w:t>
      </w:r>
    </w:p>
    <w:tbl>
      <w:tblPr>
        <w:tblStyle w:val="TableGrid"/>
        <w:tblW w:type="auto" w:w="0"/>
        <w:tblLook w:firstColumn="1" w:firstRow="1" w:lastColumn="0" w:lastRow="0" w:noHBand="0" w:noVBand="1" w:val="04A0"/>
      </w:tblPr>
      <w:tblGrid>
        <w:gridCol w:w="4320"/>
        <w:gridCol w:w="4320"/>
      </w:tblGrid>
      <w:tr>
        <w:tc>
          <w:tcPr>
            <w:tcW w:type="dxa" w:w="2592"/>
            <w:shd w:val="clear" w:color="auto" w:fill="1F3864"/>
          </w:tcPr>
          <w:p>
            <w:r/>
            <w:r>
              <w:rPr>
                <w:b/>
                <w:color w:val="FFFFFF"/>
                <w:sz w:val="19"/>
              </w:rPr>
              <w:t>CMMC phase</w:t>
            </w:r>
          </w:p>
        </w:tc>
        <w:tc>
          <w:tcPr>
            <w:tcW w:type="dxa" w:w="8208"/>
            <w:shd w:val="clear" w:color="auto" w:fill="1F3864"/>
          </w:tcPr>
          <w:p>
            <w:r/>
            <w:r>
              <w:rPr>
                <w:b/>
                <w:color w:val="FFFFFF"/>
                <w:sz w:val="19"/>
              </w:rPr>
              <w:t>What it means for the target customer</w:t>
            </w:r>
          </w:p>
        </w:tc>
      </w:tr>
      <w:tr>
        <w:tc>
          <w:tcPr>
            <w:tcW w:type="dxa" w:w="2592"/>
          </w:tcPr>
          <w:p>
            <w:r/>
            <w:r>
              <w:rPr>
                <w:sz w:val="19"/>
              </w:rPr>
              <w:t>Program rule — Dec 2024</w:t>
            </w:r>
          </w:p>
        </w:tc>
        <w:tc>
          <w:tcPr>
            <w:tcW w:type="dxa" w:w="8208"/>
          </w:tcPr>
          <w:p>
            <w:r/>
            <w:r>
              <w:rPr>
                <w:sz w:val="19"/>
              </w:rPr>
              <w:t>SPRS scores and 800-171 self-assessment already required under DFARS 7019/7020.</w:t>
            </w:r>
          </w:p>
        </w:tc>
      </w:tr>
      <w:tr>
        <w:tc>
          <w:tcPr>
            <w:tcW w:type="dxa" w:w="2592"/>
          </w:tcPr>
          <w:p>
            <w:r/>
            <w:r>
              <w:rPr>
                <w:sz w:val="19"/>
              </w:rPr>
              <w:t>Acquisition rule — Nov 10, 2025</w:t>
            </w:r>
          </w:p>
        </w:tc>
        <w:tc>
          <w:tcPr>
            <w:tcW w:type="dxa" w:w="8208"/>
          </w:tcPr>
          <w:p>
            <w:r/>
            <w:r>
              <w:rPr>
                <w:sz w:val="19"/>
              </w:rPr>
              <w:t>DFARS 252.204-7021 effective; phased inclusion in solicitations begins.</w:t>
            </w:r>
          </w:p>
        </w:tc>
      </w:tr>
      <w:tr>
        <w:tc>
          <w:tcPr>
            <w:tcW w:type="dxa" w:w="2592"/>
          </w:tcPr>
          <w:p>
            <w:r/>
            <w:r>
              <w:rPr>
                <w:sz w:val="19"/>
              </w:rPr>
              <w:t>Phase 2 — Nov 10, 2026</w:t>
            </w:r>
          </w:p>
        </w:tc>
        <w:tc>
          <w:tcPr>
            <w:tcW w:type="dxa" w:w="8208"/>
          </w:tcPr>
          <w:p>
            <w:r/>
            <w:r>
              <w:rPr>
                <w:sz w:val="19"/>
              </w:rPr>
              <w:t>Mandatory Level 2 C3PAO certification begins appearing in new CUI contracts. Prep takes 6–12 months, so the decision window is now.</w:t>
            </w:r>
          </w:p>
        </w:tc>
      </w:tr>
      <w:tr>
        <w:tc>
          <w:tcPr>
            <w:tcW w:type="dxa" w:w="2592"/>
          </w:tcPr>
          <w:p>
            <w:r/>
            <w:r>
              <w:rPr>
                <w:sz w:val="19"/>
              </w:rPr>
              <w:t>Phases 3–4 — 2027–2028</w:t>
            </w:r>
          </w:p>
        </w:tc>
        <w:tc>
          <w:tcPr>
            <w:tcW w:type="dxa" w:w="8208"/>
          </w:tcPr>
          <w:p>
            <w:r/>
            <w:r>
              <w:rPr>
                <w:sz w:val="19"/>
              </w:rPr>
              <w:t>Level 3 and full implementation; extends to options and renewals — obligation becomes permanent and recurring.</w:t>
            </w:r>
          </w:p>
        </w:tc>
      </w:tr>
    </w:tbl>
    <w:p>
      <w:pPr>
        <w:spacing w:after="40"/>
      </w:pPr>
    </w:p>
    <w:p>
      <w:pPr>
        <w:spacing w:after="120" w:before="0"/>
      </w:pPr>
      <w:r>
        <w:rPr>
          <w:b w:val="0"/>
          <w:i w:val="0"/>
          <w:sz w:val="21"/>
        </w:rPr>
        <w:t>The recurring nature matters more than the certification event: even after a sub certifies, the SPRS score, SSP, POA&amp;M, evidence, and questionnaire obligations must be maintained every quarter, forever. That is the subscription.</w:t>
      </w:r>
    </w:p>
    <w:p>
      <w:pPr>
        <w:pStyle w:val="Heading2"/>
      </w:pPr>
      <w:r>
        <w:rPr>
          <w:color w:val="1F3864"/>
          <w:sz w:val="26"/>
        </w:rPr>
        <w:t>Serviceable Obtainable Market</w:t>
      </w:r>
    </w:p>
    <w:p>
      <w:pPr>
        <w:spacing w:after="120" w:before="0"/>
      </w:pPr>
      <w:r>
        <w:rPr>
          <w:b w:val="0"/>
          <w:i w:val="0"/>
          <w:sz w:val="21"/>
        </w:rPr>
        <w:t>In-scope subs that are (a) too small for full-service consultancies, (b) sophisticated enough to know they need help, (c) handling CUI via documents/email/drawings, and (d) able to invest $25K–$60K in year-one compliance operations — an estimated 8,000–15,000 U.S. companies. Reaching 55 customers is well under 0.5% penetration; the market is not the constraint, execution is.</w:t>
      </w:r>
    </w:p>
    <w:p>
      <w:pPr>
        <w:pStyle w:val="Heading2"/>
      </w:pPr>
      <w:r>
        <w:rPr>
          <w:color w:val="1F3864"/>
          <w:sz w:val="26"/>
        </w:rPr>
        <w:t>Ideal Customer Profile</w:t>
      </w:r>
    </w:p>
    <w:p>
      <w:pPr>
        <w:pStyle w:val="ListBullet"/>
        <w:spacing w:after="60"/>
      </w:pPr>
      <w:r>
        <w:rPr>
          <w:b/>
        </w:rPr>
        <w:t xml:space="preserve">Size: </w:t>
      </w:r>
      <w:r>
        <w:t>15–200 employees, $3M–$60M revenue, with a defined handful of people/systems that touch CUI.</w:t>
      </w:r>
    </w:p>
    <w:p>
      <w:pPr>
        <w:pStyle w:val="ListBullet"/>
        <w:spacing w:after="60"/>
      </w:pPr>
      <w:r>
        <w:rPr>
          <w:b/>
        </w:rPr>
        <w:t xml:space="preserve">DoD dependence: </w:t>
      </w:r>
      <w:r>
        <w:t>meaningful revenue under DFARS 7012/7019/7020 flow-downs.</w:t>
      </w:r>
    </w:p>
    <w:p>
      <w:pPr>
        <w:pStyle w:val="ListBullet"/>
        <w:spacing w:after="60"/>
      </w:pPr>
      <w:r>
        <w:rPr>
          <w:b/>
        </w:rPr>
        <w:t xml:space="preserve">Posture: </w:t>
      </w:r>
      <w:r>
        <w:t>one internal IT resource or an outsourced MSP; no dedicated security/compliance staff; owner currently “owns” SPRS.</w:t>
      </w:r>
    </w:p>
    <w:p>
      <w:pPr>
        <w:pStyle w:val="ListBullet"/>
        <w:spacing w:after="60"/>
      </w:pPr>
      <w:r>
        <w:rPr>
          <w:b/>
        </w:rPr>
        <w:t xml:space="preserve">Trigger: </w:t>
      </w:r>
      <w:r>
        <w:t>active or imminent prime flow-down, a stale/missing SPRS score, or an inbound questionnaire creating urgency in 6–18 months.</w:t>
      </w:r>
    </w:p>
    <w:p>
      <w:pPr>
        <w:pStyle w:val="Heading2"/>
      </w:pPr>
      <w:r>
        <w:rPr>
          <w:color w:val="1F3864"/>
          <w:sz w:val="26"/>
        </w:rPr>
        <w:t>Competitive Landscape</w:t>
      </w:r>
    </w:p>
    <w:p>
      <w:pPr>
        <w:pStyle w:val="ListBullet"/>
        <w:spacing w:after="60"/>
      </w:pPr>
      <w:r>
        <w:rPr>
          <w:b/>
        </w:rPr>
        <w:t xml:space="preserve">Hourly GRC consultants / CMMC boutiques (RPOs). </w:t>
      </w:r>
      <w:r>
        <w:t>One-time projects, billed hourly, then gone — leaving the sub to maintain SPRS alone. Sleepy and reactive; the segment we out-position with productization and modern marketing.</w:t>
      </w:r>
    </w:p>
    <w:p>
      <w:pPr>
        <w:pStyle w:val="ListBullet"/>
        <w:spacing w:after="60"/>
      </w:pPr>
      <w:r>
        <w:rPr>
          <w:b/>
        </w:rPr>
        <w:t xml:space="preserve">Generalist MSPs. </w:t>
      </w:r>
      <w:r>
        <w:t>Run general IT, miss defense-specific requirements, treat security as a side task.</w:t>
      </w:r>
    </w:p>
    <w:p>
      <w:pPr>
        <w:pStyle w:val="ListBullet"/>
        <w:spacing w:after="60"/>
      </w:pPr>
      <w:r>
        <w:rPr>
          <w:b/>
        </w:rPr>
        <w:t xml:space="preserve">GRC platforms — Vanta, Drata. </w:t>
      </w:r>
      <w:r>
        <w:t>Well-funded; sell a self-serve dashboard the customer runs itself. Risk: down-market move. Why they don’t win the 30-person shop: it will never operate a GRC dashboard — it wants the work done for it. We are the operated layer above the tool, and can run on top of a customer’s Vanta/Drata.</w:t>
      </w:r>
    </w:p>
    <w:p>
      <w:pPr>
        <w:pStyle w:val="ListBullet"/>
        <w:spacing w:after="60"/>
      </w:pPr>
      <w:r>
        <w:rPr>
          <w:b/>
        </w:rPr>
        <w:t xml:space="preserve">Enclave / GCC High providers (Summit 7, ProArch) and CUI tools (PreVeil, Virtru). </w:t>
      </w:r>
      <w:r>
        <w:t>They solve the environment; we run the compliance program around it. Partners, not competitors — and the basis of our Phase 1.5 bridge and eventual Phase 2.</w:t>
      </w:r>
    </w:p>
    <w:p>
      <w:pPr>
        <w:pStyle w:val="ListBullet"/>
        <w:spacing w:after="60"/>
      </w:pPr>
      <w:r>
        <w:rPr>
          <w:b/>
        </w:rPr>
        <w:t xml:space="preserve">C3PAOs / assessors. </w:t>
      </w:r>
      <w:r>
        <w:t>A different, regulated business — they grade, we prepare. We never assess our own clients.</w:t>
      </w:r>
    </w:p>
    <w:p>
      <w:pPr>
        <w:spacing w:after="120" w:before="0"/>
      </w:pPr>
      <w:r>
        <w:rPr>
          <w:b w:val="0"/>
          <w:i w:val="0"/>
          <w:sz w:val="21"/>
        </w:rPr>
        <w:t>Where the air is. Operated, productized compliance operations for the truly small sub — fixed-price, human prime-facing reassurance, a maintained SPRS score and audit-ready evidence, environment-agnostic. No brand owns “we keep your SPRS score correct and your evidence audit-ready, every quarter, for a fixed price” for the 30-person shop. That lane is real but filling, which is why the channel and credibility work below is gating.</w:t>
      </w:r>
    </w:p>
    <w:p>
      <w:pPr>
        <w:pStyle w:val="Heading1"/>
      </w:pPr>
      <w:r>
        <w:rPr>
          <w:color w:val="1F3864"/>
          <w:sz w:val="32"/>
        </w:rPr>
        <w:t>3. Service Offering</w:t>
      </w:r>
    </w:p>
    <w:p>
      <w:pPr>
        <w:pStyle w:val="Heading2"/>
      </w:pPr>
      <w:r>
        <w:rPr>
          <w:color w:val="1F3864"/>
          <w:sz w:val="26"/>
        </w:rPr>
        <w:t>The Delivery Spine</w:t>
      </w:r>
    </w:p>
    <w:p>
      <w:pPr>
        <w:pStyle w:val="ListBullet"/>
        <w:spacing w:after="60"/>
      </w:pPr>
      <w:r>
        <w:rPr>
          <w:b/>
        </w:rPr>
        <w:t xml:space="preserve">Compliance system-of-record (artifact-only). </w:t>
      </w:r>
      <w:r>
        <w:t>A multi-tenant portal tracking control status against the 110 requirements, SSP, POA&amp;M, evidence, SPRS worksheet, and a reusable questionnaire answer library. Raw CUI is technically and contractually excluded.</w:t>
      </w:r>
    </w:p>
    <w:p>
      <w:pPr>
        <w:pStyle w:val="ListBullet"/>
        <w:spacing w:after="60"/>
      </w:pPr>
      <w:r>
        <w:rPr>
          <w:b/>
        </w:rPr>
        <w:t xml:space="preserve">The recurring cadence engine. </w:t>
      </w:r>
      <w:r>
        <w:t>A scheduler driving quarterly reviews, evidence-refresh reminders, reassessment dates, SPRS re-posting windows, and renewal alerts — the retention engine.</w:t>
      </w:r>
    </w:p>
    <w:p>
      <w:pPr>
        <w:pStyle w:val="ListBullet"/>
        <w:spacing w:after="60"/>
      </w:pPr>
      <w:r>
        <w:rPr>
          <w:b/>
        </w:rPr>
        <w:t xml:space="preserve">The questionnaire-response engine. </w:t>
      </w:r>
      <w:r>
        <w:t>Inbound prime questionnaires answered fast from maintained evidence and a growing answer library.</w:t>
      </w:r>
    </w:p>
    <w:p>
      <w:pPr>
        <w:pStyle w:val="ListBullet"/>
        <w:spacing w:after="60"/>
      </w:pPr>
      <w:r>
        <w:rPr>
          <w:b/>
        </w:rPr>
        <w:t xml:space="preserve">Expert review. </w:t>
      </w:r>
      <w:r>
        <w:t>A credentialed RP/CCP signs off on every SPRS-affecting judgment and the SSP/POA&amp;M before anything is posted or sent.</w:t>
      </w:r>
    </w:p>
    <w:p>
      <w:pPr>
        <w:pStyle w:val="Heading2"/>
      </w:pPr>
      <w:r>
        <w:rPr>
          <w:color w:val="1F3864"/>
          <w:sz w:val="26"/>
        </w:rPr>
        <w:t>The Three-Stage Customer Journey</w:t>
      </w:r>
    </w:p>
    <w:p>
      <w:pPr>
        <w:pStyle w:val="ListBullet"/>
        <w:spacing w:after="60"/>
      </w:pPr>
      <w:r>
        <w:rPr>
          <w:b/>
        </w:rPr>
        <w:t xml:space="preserve">Stage 1 — Free SPRS &amp; 800-171 readiness assessment. </w:t>
      </w:r>
      <w:r>
        <w:t>A structured survey enriched by AI follow-ups, producing a 15–25 page report mapping posture to the 110 control objectives, an honest current/target SPRS estimate, and prioritized remediation. Quality bar: a credentialed RP would agree it caught what they would have caught.</w:t>
      </w:r>
    </w:p>
    <w:p>
      <w:pPr>
        <w:pStyle w:val="ListBullet"/>
        <w:spacing w:after="60"/>
      </w:pPr>
      <w:r>
        <w:rPr>
          <w:b/>
        </w:rPr>
        <w:t xml:space="preserve">Stage 2 — Mock review and qualification. </w:t>
      </w:r>
      <w:r>
        <w:t>A founder-led deeper review of CUI scope and the realistic path to a defensible SPRS score; a written proposal at published pricing. The trust sale.</w:t>
      </w:r>
    </w:p>
    <w:p>
      <w:pPr>
        <w:pStyle w:val="ListBullet"/>
        <w:spacing w:after="60"/>
      </w:pPr>
      <w:r>
        <w:rPr>
          <w:b/>
        </w:rPr>
        <w:t xml:space="preserve">Stage 3 — Onboarding, then managed operations. </w:t>
      </w:r>
      <w:r>
        <w:t>Onboarding (4–8 weeks) then monthly managed operations as above.</w:t>
      </w:r>
    </w:p>
    <w:p>
      <w:pPr>
        <w:pStyle w:val="Heading2"/>
      </w:pPr>
      <w:r>
        <w:rPr>
          <w:color w:val="1F3864"/>
          <w:sz w:val="26"/>
        </w:rPr>
        <w:t>Pricing</w:t>
      </w:r>
    </w:p>
    <w:p>
      <w:pPr>
        <w:spacing w:after="120" w:before="0"/>
      </w:pPr>
      <w:r>
        <w:rPr>
          <w:b w:val="0"/>
          <w:i w:val="0"/>
          <w:sz w:val="21"/>
        </w:rPr>
        <w:t>Published, fixed, tier-based on size and CUI/questionnaire scope — not negotiated. This protects margin and forces honest qualification.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52"/>
            <w:shd w:val="clear" w:color="auto" w:fill="1F3864"/>
          </w:tcPr>
          <w:p>
            <w:r/>
            <w:r>
              <w:rPr>
                <w:b/>
                <w:color w:val="FFFFFF"/>
                <w:sz w:val="19"/>
              </w:rPr>
              <w:t>Tier</w:t>
            </w:r>
          </w:p>
        </w:tc>
        <w:tc>
          <w:tcPr>
            <w:tcW w:type="dxa" w:w="4320"/>
            <w:shd w:val="clear" w:color="auto" w:fill="1F3864"/>
          </w:tcPr>
          <w:p>
            <w:r/>
            <w:r>
              <w:rPr>
                <w:b/>
                <w:color w:val="FFFFFF"/>
                <w:sz w:val="19"/>
              </w:rPr>
              <w:t>Profile</w:t>
            </w:r>
          </w:p>
        </w:tc>
        <w:tc>
          <w:tcPr>
            <w:tcW w:type="dxa" w:w="1584"/>
            <w:shd w:val="clear" w:color="auto" w:fill="1F3864"/>
          </w:tcPr>
          <w:p>
            <w:r/>
            <w:r>
              <w:rPr>
                <w:b/>
                <w:color w:val="FFFFFF"/>
                <w:sz w:val="19"/>
              </w:rPr>
              <w:t>Onboarding</w:t>
            </w:r>
          </w:p>
        </w:tc>
        <w:tc>
          <w:tcPr>
            <w:tcW w:type="dxa" w:w="1296"/>
            <w:shd w:val="clear" w:color="auto" w:fill="1F3864"/>
          </w:tcPr>
          <w:p>
            <w:r/>
            <w:r>
              <w:rPr>
                <w:b/>
                <w:color w:val="FFFFFF"/>
                <w:sz w:val="19"/>
              </w:rPr>
              <w:t>Monthly</w:t>
            </w:r>
          </w:p>
        </w:tc>
        <w:tc>
          <w:tcPr>
            <w:tcW w:type="dxa" w:w="1872"/>
            <w:shd w:val="clear" w:color="auto" w:fill="1F3864"/>
          </w:tcPr>
          <w:p>
            <w:r/>
            <w:r>
              <w:rPr>
                <w:b/>
                <w:color w:val="FFFFFF"/>
                <w:sz w:val="19"/>
              </w:rPr>
              <w:t>Annual recurring</w:t>
            </w:r>
          </w:p>
        </w:tc>
      </w:tr>
      <w:tr>
        <w:tc>
          <w:tcPr>
            <w:tcW w:type="dxa" w:w="1152"/>
          </w:tcPr>
          <w:p>
            <w:r/>
            <w:r>
              <w:rPr>
                <w:sz w:val="19"/>
              </w:rPr>
              <w:t>Core</w:t>
            </w:r>
          </w:p>
        </w:tc>
        <w:tc>
          <w:tcPr>
            <w:tcW w:type="dxa" w:w="4320"/>
          </w:tcPr>
          <w:p>
            <w:r/>
            <w:r>
              <w:rPr>
                <w:sz w:val="19"/>
              </w:rPr>
              <w:t>&lt;50 emp, single prime, light scope</w:t>
            </w:r>
          </w:p>
        </w:tc>
        <w:tc>
          <w:tcPr>
            <w:tcW w:type="dxa" w:w="1584"/>
          </w:tcPr>
          <w:p>
            <w:r/>
            <w:r>
              <w:rPr>
                <w:sz w:val="19"/>
              </w:rPr>
              <w:t>$9,500</w:t>
            </w:r>
          </w:p>
        </w:tc>
        <w:tc>
          <w:tcPr>
            <w:tcW w:type="dxa" w:w="1296"/>
          </w:tcPr>
          <w:p>
            <w:r/>
            <w:r>
              <w:rPr>
                <w:sz w:val="19"/>
              </w:rPr>
              <w:t>$1,500</w:t>
            </w:r>
          </w:p>
        </w:tc>
        <w:tc>
          <w:tcPr>
            <w:tcW w:type="dxa" w:w="1872"/>
          </w:tcPr>
          <w:p>
            <w:r/>
            <w:r>
              <w:rPr>
                <w:sz w:val="19"/>
              </w:rPr>
              <w:t>$18,000</w:t>
            </w:r>
          </w:p>
        </w:tc>
      </w:tr>
      <w:tr>
        <w:tc>
          <w:tcPr>
            <w:tcW w:type="dxa" w:w="1152"/>
          </w:tcPr>
          <w:p>
            <w:r/>
            <w:r>
              <w:rPr>
                <w:sz w:val="19"/>
              </w:rPr>
              <w:t>Plus</w:t>
            </w:r>
          </w:p>
        </w:tc>
        <w:tc>
          <w:tcPr>
            <w:tcW w:type="dxa" w:w="4320"/>
          </w:tcPr>
          <w:p>
            <w:r/>
            <w:r>
              <w:rPr>
                <w:sz w:val="19"/>
              </w:rPr>
              <w:t>50–120 emp, multi-prime, moderate</w:t>
            </w:r>
          </w:p>
        </w:tc>
        <w:tc>
          <w:tcPr>
            <w:tcW w:type="dxa" w:w="1584"/>
          </w:tcPr>
          <w:p>
            <w:r/>
            <w:r>
              <w:rPr>
                <w:sz w:val="19"/>
              </w:rPr>
              <w:t>$12,500</w:t>
            </w:r>
          </w:p>
        </w:tc>
        <w:tc>
          <w:tcPr>
            <w:tcW w:type="dxa" w:w="1296"/>
          </w:tcPr>
          <w:p>
            <w:r/>
            <w:r>
              <w:rPr>
                <w:sz w:val="19"/>
              </w:rPr>
              <w:t>$2,500</w:t>
            </w:r>
          </w:p>
        </w:tc>
        <w:tc>
          <w:tcPr>
            <w:tcW w:type="dxa" w:w="1872"/>
          </w:tcPr>
          <w:p>
            <w:r/>
            <w:r>
              <w:rPr>
                <w:sz w:val="19"/>
              </w:rPr>
              <w:t>$30,000</w:t>
            </w:r>
          </w:p>
        </w:tc>
      </w:tr>
      <w:tr>
        <w:tc>
          <w:tcPr>
            <w:tcW w:type="dxa" w:w="1152"/>
          </w:tcPr>
          <w:p>
            <w:r/>
            <w:r>
              <w:rPr>
                <w:sz w:val="19"/>
              </w:rPr>
              <w:t>Scale</w:t>
            </w:r>
          </w:p>
        </w:tc>
        <w:tc>
          <w:tcPr>
            <w:tcW w:type="dxa" w:w="4320"/>
          </w:tcPr>
          <w:p>
            <w:r/>
            <w:r>
              <w:rPr>
                <w:sz w:val="19"/>
              </w:rPr>
              <w:t>120–200 emp, many primes, heavy questionnaire load</w:t>
            </w:r>
          </w:p>
        </w:tc>
        <w:tc>
          <w:tcPr>
            <w:tcW w:type="dxa" w:w="1584"/>
          </w:tcPr>
          <w:p>
            <w:r/>
            <w:r>
              <w:rPr>
                <w:sz w:val="19"/>
              </w:rPr>
              <w:t>$15,000</w:t>
            </w:r>
          </w:p>
        </w:tc>
        <w:tc>
          <w:tcPr>
            <w:tcW w:type="dxa" w:w="1296"/>
          </w:tcPr>
          <w:p>
            <w:r/>
            <w:r>
              <w:rPr>
                <w:sz w:val="19"/>
              </w:rPr>
              <w:t>$3,500</w:t>
            </w:r>
          </w:p>
        </w:tc>
        <w:tc>
          <w:tcPr>
            <w:tcW w:type="dxa" w:w="1872"/>
          </w:tcPr>
          <w:p>
            <w:r/>
            <w:r>
              <w:rPr>
                <w:sz w:val="19"/>
              </w:rPr>
              <w:t>$42,000</w:t>
            </w:r>
          </w:p>
        </w:tc>
      </w:tr>
    </w:tbl>
    <w:p>
      <w:pPr>
        <w:spacing w:after="40"/>
      </w:pPr>
    </w:p>
    <w:p>
      <w:pPr>
        <w:spacing w:after="120" w:before="0"/>
      </w:pPr>
      <w:r>
        <w:rPr>
          <w:b w:val="0"/>
          <w:i w:val="0"/>
          <w:sz w:val="21"/>
        </w:rPr>
        <w:t>Customers pay separately for any GRC-platform license, secure-email/enclave vendor, C3PAO assessment, external legal review, and MSP/general IT. Design partners (first two–three customers) receive a setup discount in exchange for feedback and testimonial rights.</w:t>
      </w:r>
    </w:p>
    <w:p>
      <w:pPr>
        <w:pStyle w:val="Heading2"/>
      </w:pPr>
      <w:r>
        <w:rPr>
          <w:color w:val="1F3864"/>
          <w:sz w:val="26"/>
        </w:rPr>
        <w:t>Explicitly Out of Scope</w:t>
      </w:r>
    </w:p>
    <w:p>
      <w:pPr>
        <w:pStyle w:val="ListBullet"/>
        <w:spacing w:after="60"/>
      </w:pPr>
      <w:r>
        <w:t>General IT help desk, endpoint, or device management.</w:t>
      </w:r>
    </w:p>
    <w:p>
      <w:pPr>
        <w:pStyle w:val="ListBullet"/>
        <w:spacing w:after="60"/>
      </w:pPr>
      <w:r>
        <w:t>Hosting, operating, or building the secure environment / enclave (referred to a partner in Phase 1).</w:t>
      </w:r>
    </w:p>
    <w:p>
      <w:pPr>
        <w:pStyle w:val="ListBullet"/>
        <w:spacing w:after="60"/>
      </w:pPr>
      <w:r>
        <w:t>Taking custody of, processing, or storing raw CUI.</w:t>
      </w:r>
    </w:p>
    <w:p>
      <w:pPr>
        <w:pStyle w:val="ListBullet"/>
        <w:spacing w:after="60"/>
      </w:pPr>
      <w:r>
        <w:t>Legal advice or contract-term interpretation.</w:t>
      </w:r>
    </w:p>
    <w:p>
      <w:pPr>
        <w:pStyle w:val="ListBullet"/>
        <w:spacing w:after="60"/>
      </w:pPr>
      <w:r>
        <w:t>Certification guarantees of any kind.</w:t>
      </w:r>
    </w:p>
    <w:p>
      <w:pPr>
        <w:pStyle w:val="ListBullet"/>
        <w:spacing w:after="60"/>
      </w:pPr>
      <w:r>
        <w:t>Signing or submitting any government attestation on the customer’s behalf — the customer always attests.</w:t>
      </w:r>
    </w:p>
    <w:p>
      <w:pPr>
        <w:pStyle w:val="ListBullet"/>
        <w:spacing w:after="60"/>
      </w:pPr>
      <w:r>
        <w:t>Heavy ITAR/EAR-controlled workflows (screened out at intake).</w:t>
      </w:r>
    </w:p>
    <w:p>
      <w:pPr>
        <w:pStyle w:val="Heading1"/>
      </w:pPr>
      <w:r>
        <w:rPr>
          <w:color w:val="1F3864"/>
          <w:sz w:val="32"/>
        </w:rPr>
        <w:t>4. Go-to-Market Strategy</w:t>
      </w:r>
    </w:p>
    <w:p>
      <w:pPr>
        <w:pStyle w:val="Heading2"/>
      </w:pPr>
      <w:r>
        <w:rPr>
          <w:color w:val="1F3864"/>
          <w:sz w:val="26"/>
        </w:rPr>
        <w:t>The Motion: Product Sources and Qualifies; the Founder Closes</w:t>
      </w:r>
    </w:p>
    <w:p>
      <w:pPr>
        <w:spacing w:after="120" w:before="0"/>
      </w:pPr>
      <w:r>
        <w:rPr>
          <w:b w:val="0"/>
          <w:i w:val="0"/>
          <w:sz w:val="21"/>
        </w:rPr>
        <w:t>A split funnel. A product-led motion does the high-volume top: the free SPRS assessment sources and qualifies prospects on data. A founder-led sale closes the bottom, where the money and trust live — a six-figure-LTV engagement with business-ending stakes is closed by a person, not a website.</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F3864"/>
          </w:tcPr>
          <w:p>
            <w:r/>
            <w:r>
              <w:rPr>
                <w:b/>
                <w:color w:val="FFFFFF"/>
                <w:sz w:val="19"/>
              </w:rPr>
              <w:t>Stage</w:t>
            </w:r>
          </w:p>
        </w:tc>
        <w:tc>
          <w:tcPr>
            <w:tcW w:type="dxa" w:w="1296"/>
            <w:shd w:val="clear" w:color="auto" w:fill="1F3864"/>
          </w:tcPr>
          <w:p>
            <w:r/>
            <w:r>
              <w:rPr>
                <w:b/>
                <w:color w:val="FFFFFF"/>
                <w:sz w:val="19"/>
              </w:rPr>
              <w:t>Owner</w:t>
            </w:r>
          </w:p>
        </w:tc>
        <w:tc>
          <w:tcPr>
            <w:tcW w:type="dxa" w:w="5040"/>
            <w:shd w:val="clear" w:color="auto" w:fill="1F3864"/>
          </w:tcPr>
          <w:p>
            <w:r/>
            <w:r>
              <w:rPr>
                <w:b/>
                <w:color w:val="FFFFFF"/>
                <w:sz w:val="19"/>
              </w:rPr>
              <w:t>Mechanism</w:t>
            </w:r>
          </w:p>
        </w:tc>
        <w:tc>
          <w:tcPr>
            <w:tcW w:type="dxa" w:w="3168"/>
            <w:shd w:val="clear" w:color="auto" w:fill="1F3864"/>
          </w:tcPr>
          <w:p>
            <w:r/>
            <w:r>
              <w:rPr>
                <w:b/>
                <w:color w:val="FFFFFF"/>
                <w:sz w:val="19"/>
              </w:rPr>
              <w:t>Output</w:t>
            </w:r>
          </w:p>
        </w:tc>
      </w:tr>
      <w:tr>
        <w:tc>
          <w:tcPr>
            <w:tcW w:type="dxa" w:w="1296"/>
          </w:tcPr>
          <w:p>
            <w:r/>
            <w:r>
              <w:rPr>
                <w:sz w:val="19"/>
              </w:rPr>
              <w:t>Source</w:t>
            </w:r>
          </w:p>
        </w:tc>
        <w:tc>
          <w:tcPr>
            <w:tcW w:type="dxa" w:w="1296"/>
          </w:tcPr>
          <w:p>
            <w:r/>
            <w:r>
              <w:rPr>
                <w:sz w:val="19"/>
              </w:rPr>
              <w:t>Product</w:t>
            </w:r>
          </w:p>
        </w:tc>
        <w:tc>
          <w:tcPr>
            <w:tcW w:type="dxa" w:w="5040"/>
          </w:tcPr>
          <w:p>
            <w:r/>
            <w:r>
              <w:rPr>
                <w:sz w:val="19"/>
              </w:rPr>
              <w:t>Free AI SPRS assessment; SEO on SPRS/DFARS pain; LinkedIn to sub owners; APEX/MEP events</w:t>
            </w:r>
          </w:p>
        </w:tc>
        <w:tc>
          <w:tcPr>
            <w:tcW w:type="dxa" w:w="3168"/>
          </w:tcPr>
          <w:p>
            <w:r/>
            <w:r>
              <w:rPr>
                <w:sz w:val="19"/>
              </w:rPr>
              <w:t>Self-identified prospects</w:t>
            </w:r>
          </w:p>
        </w:tc>
      </w:tr>
      <w:tr>
        <w:tc>
          <w:tcPr>
            <w:tcW w:type="dxa" w:w="1296"/>
          </w:tcPr>
          <w:p>
            <w:r/>
            <w:r>
              <w:rPr>
                <w:sz w:val="19"/>
              </w:rPr>
              <w:t>Qualify</w:t>
            </w:r>
          </w:p>
        </w:tc>
        <w:tc>
          <w:tcPr>
            <w:tcW w:type="dxa" w:w="1296"/>
          </w:tcPr>
          <w:p>
            <w:r/>
            <w:r>
              <w:rPr>
                <w:sz w:val="19"/>
              </w:rPr>
              <w:t>Product</w:t>
            </w:r>
          </w:p>
        </w:tc>
        <w:tc>
          <w:tcPr>
            <w:tcW w:type="dxa" w:w="5040"/>
          </w:tcPr>
          <w:p>
            <w:r/>
            <w:r>
              <w:rPr>
                <w:sz w:val="19"/>
              </w:rPr>
              <w:t>Assessment scores obligation, CUI scope, ICP fit</w:t>
            </w:r>
          </w:p>
        </w:tc>
        <w:tc>
          <w:tcPr>
            <w:tcW w:type="dxa" w:w="3168"/>
          </w:tcPr>
          <w:p>
            <w:r/>
            <w:r>
              <w:rPr>
                <w:sz w:val="19"/>
              </w:rPr>
              <w:t>A ranked, sales-ready list with a named gap</w:t>
            </w:r>
          </w:p>
        </w:tc>
      </w:tr>
      <w:tr>
        <w:tc>
          <w:tcPr>
            <w:tcW w:type="dxa" w:w="1296"/>
          </w:tcPr>
          <w:p>
            <w:r/>
            <w:r>
              <w:rPr>
                <w:sz w:val="19"/>
              </w:rPr>
              <w:t>Close</w:t>
            </w:r>
          </w:p>
        </w:tc>
        <w:tc>
          <w:tcPr>
            <w:tcW w:type="dxa" w:w="1296"/>
          </w:tcPr>
          <w:p>
            <w:r/>
            <w:r>
              <w:rPr>
                <w:sz w:val="19"/>
              </w:rPr>
              <w:t>Founder</w:t>
            </w:r>
          </w:p>
        </w:tc>
        <w:tc>
          <w:tcPr>
            <w:tcW w:type="dxa" w:w="5040"/>
          </w:tcPr>
          <w:p>
            <w:r/>
            <w:r>
              <w:rPr>
                <w:sz w:val="19"/>
              </w:rPr>
              <w:t>Mock review + consultative proposal at published price</w:t>
            </w:r>
          </w:p>
        </w:tc>
        <w:tc>
          <w:tcPr>
            <w:tcW w:type="dxa" w:w="3168"/>
          </w:tcPr>
          <w:p>
            <w:r/>
            <w:r>
              <w:rPr>
                <w:sz w:val="19"/>
              </w:rPr>
              <w:t>Signed onboarding + subscription</w:t>
            </w:r>
          </w:p>
        </w:tc>
      </w:tr>
      <w:tr>
        <w:tc>
          <w:tcPr>
            <w:tcW w:type="dxa" w:w="1296"/>
          </w:tcPr>
          <w:p>
            <w:r/>
            <w:r>
              <w:rPr>
                <w:sz w:val="19"/>
              </w:rPr>
              <w:t>Expand</w:t>
            </w:r>
          </w:p>
        </w:tc>
        <w:tc>
          <w:tcPr>
            <w:tcW w:type="dxa" w:w="1296"/>
          </w:tcPr>
          <w:p>
            <w:r/>
            <w:r>
              <w:rPr>
                <w:sz w:val="19"/>
              </w:rPr>
              <w:t>Founder/CS</w:t>
            </w:r>
          </w:p>
        </w:tc>
        <w:tc>
          <w:tcPr>
            <w:tcW w:type="dxa" w:w="5040"/>
          </w:tcPr>
          <w:p>
            <w:r/>
            <w:r>
              <w:rPr>
                <w:sz w:val="19"/>
              </w:rPr>
              <w:t>Add primes, questionnaires, POA&amp;M scope (and later, the enclave)</w:t>
            </w:r>
          </w:p>
        </w:tc>
        <w:tc>
          <w:tcPr>
            <w:tcW w:type="dxa" w:w="3168"/>
          </w:tcPr>
          <w:p>
            <w:r/>
            <w:r>
              <w:rPr>
                <w:sz w:val="19"/>
              </w:rPr>
              <w:t>Higher tier, stickier account</w:t>
            </w:r>
          </w:p>
        </w:tc>
      </w:tr>
    </w:tbl>
    <w:p>
      <w:pPr>
        <w:spacing w:after="40"/>
      </w:pPr>
    </w:p>
    <w:p>
      <w:pPr>
        <w:pStyle w:val="Heading2"/>
      </w:pPr>
      <w:r>
        <w:rPr>
          <w:color w:val="1F3864"/>
          <w:sz w:val="26"/>
        </w:rPr>
        <w:t>Channels</w:t>
      </w:r>
    </w:p>
    <w:p>
      <w:pPr>
        <w:pStyle w:val="ListBullet"/>
        <w:spacing w:after="60"/>
      </w:pPr>
      <w:r>
        <w:rPr>
          <w:b/>
        </w:rPr>
        <w:t xml:space="preserve">Prime supplier-development teams. </w:t>
      </w:r>
      <w:r>
        <w:t>Primes want their subs compliant and prefer to refer a trusted operator — highest-leverage channel and a partial moat vs. self-serve platforms.</w:t>
      </w:r>
    </w:p>
    <w:p>
      <w:pPr>
        <w:pStyle w:val="ListBullet"/>
        <w:spacing w:after="60"/>
      </w:pPr>
      <w:r>
        <w:rPr>
          <w:b/>
        </w:rPr>
        <w:t xml:space="preserve">MEP centers and APEX Accelerators. </w:t>
      </w:r>
      <w:r>
        <w:t>Government-funded programs with the exact ICP.</w:t>
      </w:r>
    </w:p>
    <w:p>
      <w:pPr>
        <w:pStyle w:val="ListBullet"/>
        <w:spacing w:after="60"/>
      </w:pPr>
      <w:r>
        <w:rPr>
          <w:b/>
        </w:rPr>
        <w:t>Defense-manufacturing associations and supplier-day events.</w:t>
      </w:r>
      <w:r/>
    </w:p>
    <w:p>
      <w:pPr>
        <w:pStyle w:val="ListBullet"/>
        <w:spacing w:after="60"/>
      </w:pPr>
      <w:r>
        <w:rPr>
          <w:b/>
        </w:rPr>
        <w:t xml:space="preserve">Enclave / GCC High partners </w:t>
      </w:r>
      <w:r>
        <w:t>(referral both directions) — the seed of the Phase 1.5 bridge.</w:t>
      </w:r>
    </w:p>
    <w:p>
      <w:pPr>
        <w:pStyle w:val="Heading1"/>
      </w:pPr>
      <w:r>
        <w:rPr>
          <w:color w:val="1F3864"/>
          <w:sz w:val="32"/>
        </w:rPr>
        <w:t>5. Operations &amp; Delivery</w:t>
      </w:r>
    </w:p>
    <w:p>
      <w:pPr>
        <w:pStyle w:val="Heading2"/>
      </w:pPr>
      <w:r>
        <w:rPr>
          <w:color w:val="1F3864"/>
          <w:sz w:val="26"/>
        </w:rPr>
        <w:t>Capacity Math</w:t>
      </w:r>
    </w:p>
    <w:p>
      <w:pPr>
        <w:spacing w:after="120" w:before="0"/>
      </w:pPr>
      <w:r>
        <w:rPr>
          <w:b w:val="0"/>
          <w:i w:val="0"/>
          <w:sz w:val="21"/>
        </w:rPr>
        <w:t>Steady-state delivery runs ~30–35 expert/analyst hours per subscriber per year. Onboarding is the heavy, front-loaded unit (~40–80 hours per new customer) and the true throughput constraint — which is why onboarding is priced toward loaded cost and why templatizing onboarding is the central operational project. At ~55 active subscribers, steady-state delivery is ~1,800–1,900 hours/year (~2.5 delivery FTEs), covered by two founders plus two compliance analysts plus the fractional RP.</w:t>
      </w:r>
    </w:p>
    <w:p>
      <w:pPr>
        <w:pStyle w:val="Heading2"/>
      </w:pPr>
      <w:r>
        <w:rPr>
          <w:color w:val="1F3864"/>
          <w:sz w:val="26"/>
        </w:rPr>
        <w:t>Quality Control (non-negotiable)</w:t>
      </w:r>
    </w:p>
    <w:p>
      <w:pPr>
        <w:spacing w:after="120" w:before="0"/>
      </w:pPr>
      <w:r>
        <w:rPr>
          <w:b w:val="0"/>
          <w:i w:val="0"/>
          <w:sz w:val="21"/>
        </w:rPr>
        <w:t>Because a wrong SPRS score or a failed prime audit is exactly what the customer bought us to prevent, the RP/CCP signs off on every SPRS-affecting judgment and SSP/POA&amp;M before posting or sending. A second qualified reviewer is added before ~30 customers to remove single-point-of-judgment and bus-factor risk.</w:t>
      </w:r>
    </w:p>
    <w:p>
      <w:pPr>
        <w:pStyle w:val="Heading2"/>
      </w:pPr>
      <w:r>
        <w:rPr>
          <w:color w:val="1F3864"/>
          <w:sz w:val="26"/>
        </w:rPr>
        <w:t>Hiring Plan</w:t>
      </w:r>
    </w:p>
    <w:tbl>
      <w:tblPr>
        <w:tblStyle w:val="TableGrid"/>
        <w:tblW w:type="auto" w:w="0"/>
        <w:tblLook w:firstColumn="1" w:firstRow="1" w:lastColumn="0" w:lastRow="0" w:noHBand="0" w:noVBand="1" w:val="04A0"/>
      </w:tblPr>
      <w:tblGrid>
        <w:gridCol w:w="2880"/>
        <w:gridCol w:w="2880"/>
        <w:gridCol w:w="2880"/>
      </w:tblGrid>
      <w:tr>
        <w:tc>
          <w:tcPr>
            <w:tcW w:type="dxa" w:w="1872"/>
            <w:shd w:val="clear" w:color="auto" w:fill="1F3864"/>
          </w:tcPr>
          <w:p>
            <w:r/>
            <w:r>
              <w:rPr>
                <w:b/>
                <w:color w:val="FFFFFF"/>
                <w:sz w:val="19"/>
              </w:rPr>
              <w:t>When</w:t>
            </w:r>
          </w:p>
        </w:tc>
        <w:tc>
          <w:tcPr>
            <w:tcW w:type="dxa" w:w="3744"/>
            <w:shd w:val="clear" w:color="auto" w:fill="1F3864"/>
          </w:tcPr>
          <w:p>
            <w:r/>
            <w:r>
              <w:rPr>
                <w:b/>
                <w:color w:val="FFFFFF"/>
                <w:sz w:val="19"/>
              </w:rPr>
              <w:t>Hire</w:t>
            </w:r>
          </w:p>
        </w:tc>
        <w:tc>
          <w:tcPr>
            <w:tcW w:type="dxa" w:w="5184"/>
            <w:shd w:val="clear" w:color="auto" w:fill="1F3864"/>
          </w:tcPr>
          <w:p>
            <w:r/>
            <w:r>
              <w:rPr>
                <w:b/>
                <w:color w:val="FFFFFF"/>
                <w:sz w:val="19"/>
              </w:rPr>
              <w:t>Why</w:t>
            </w:r>
          </w:p>
        </w:tc>
      </w:tr>
      <w:tr>
        <w:tc>
          <w:tcPr>
            <w:tcW w:type="dxa" w:w="1872"/>
          </w:tcPr>
          <w:p>
            <w:r/>
            <w:r>
              <w:rPr>
                <w:sz w:val="19"/>
              </w:rPr>
              <w:t>Month 0</w:t>
            </w:r>
          </w:p>
        </w:tc>
        <w:tc>
          <w:tcPr>
            <w:tcW w:type="dxa" w:w="3744"/>
          </w:tcPr>
          <w:p>
            <w:r/>
            <w:r>
              <w:rPr>
                <w:sz w:val="19"/>
              </w:rPr>
              <w:t>Fractional RP/CCP advisor</w:t>
            </w:r>
          </w:p>
        </w:tc>
        <w:tc>
          <w:tcPr>
            <w:tcW w:type="dxa" w:w="5184"/>
          </w:tcPr>
          <w:p>
            <w:r/>
            <w:r>
              <w:rPr>
                <w:sz w:val="19"/>
              </w:rPr>
              <w:t>Judgment + credibility + QC sign-off</w:t>
            </w:r>
          </w:p>
        </w:tc>
      </w:tr>
      <w:tr>
        <w:tc>
          <w:tcPr>
            <w:tcW w:type="dxa" w:w="1872"/>
          </w:tcPr>
          <w:p>
            <w:r/>
            <w:r>
              <w:rPr>
                <w:sz w:val="19"/>
              </w:rPr>
              <w:t>Month 4–6</w:t>
            </w:r>
          </w:p>
        </w:tc>
        <w:tc>
          <w:tcPr>
            <w:tcW w:type="dxa" w:w="3744"/>
          </w:tcPr>
          <w:p>
            <w:r/>
            <w:r>
              <w:rPr>
                <w:sz w:val="19"/>
              </w:rPr>
              <w:t>Compliance analyst #1</w:t>
            </w:r>
          </w:p>
        </w:tc>
        <w:tc>
          <w:tcPr>
            <w:tcW w:type="dxa" w:w="5184"/>
          </w:tcPr>
          <w:p>
            <w:r/>
            <w:r>
              <w:rPr>
                <w:sz w:val="19"/>
              </w:rPr>
              <w:t>Onboarding + evidence throughput</w:t>
            </w:r>
          </w:p>
        </w:tc>
      </w:tr>
      <w:tr>
        <w:tc>
          <w:tcPr>
            <w:tcW w:type="dxa" w:w="1872"/>
          </w:tcPr>
          <w:p>
            <w:r/>
            <w:r>
              <w:rPr>
                <w:sz w:val="19"/>
              </w:rPr>
              <w:t>Month 10–14</w:t>
            </w:r>
          </w:p>
        </w:tc>
        <w:tc>
          <w:tcPr>
            <w:tcW w:type="dxa" w:w="3744"/>
          </w:tcPr>
          <w:p>
            <w:r/>
            <w:r>
              <w:rPr>
                <w:sz w:val="19"/>
              </w:rPr>
              <w:t>Compliance analyst #2 / second RP</w:t>
            </w:r>
          </w:p>
        </w:tc>
        <w:tc>
          <w:tcPr>
            <w:tcW w:type="dxa" w:w="5184"/>
          </w:tcPr>
          <w:p>
            <w:r/>
            <w:r>
              <w:rPr>
                <w:sz w:val="19"/>
              </w:rPr>
              <w:t>Remove judgment bottleneck before scale</w:t>
            </w:r>
          </w:p>
        </w:tc>
      </w:tr>
      <w:tr>
        <w:tc>
          <w:tcPr>
            <w:tcW w:type="dxa" w:w="1872"/>
          </w:tcPr>
          <w:p>
            <w:r/>
            <w:r>
              <w:rPr>
                <w:sz w:val="19"/>
              </w:rPr>
              <w:t>Month 18+</w:t>
            </w:r>
          </w:p>
        </w:tc>
        <w:tc>
          <w:tcPr>
            <w:tcW w:type="dxa" w:w="3744"/>
          </w:tcPr>
          <w:p>
            <w:r/>
            <w:r>
              <w:rPr>
                <w:sz w:val="19"/>
              </w:rPr>
              <w:t>Customer-success lead</w:t>
            </w:r>
          </w:p>
        </w:tc>
        <w:tc>
          <w:tcPr>
            <w:tcW w:type="dxa" w:w="5184"/>
          </w:tcPr>
          <w:p>
            <w:r/>
            <w:r>
              <w:rPr>
                <w:sz w:val="19"/>
              </w:rPr>
              <w:t>Retention + expansion as count grows</w:t>
            </w:r>
          </w:p>
        </w:tc>
      </w:tr>
    </w:tbl>
    <w:p>
      <w:pPr>
        <w:spacing w:after="40"/>
      </w:pPr>
    </w:p>
    <w:p>
      <w:pPr>
        <w:pStyle w:val="Heading1"/>
      </w:pPr>
      <w:r>
        <w:rPr>
          <w:color w:val="1F3864"/>
          <w:sz w:val="32"/>
        </w:rPr>
        <w:t>6. Management &amp; Founders</w:t>
      </w:r>
    </w:p>
    <w:p>
      <w:pPr>
        <w:spacing w:after="120" w:before="0"/>
      </w:pPr>
      <w:r>
        <w:rPr>
          <w:b w:val="0"/>
          <w:i w:val="0"/>
          <w:sz w:val="21"/>
        </w:rPr>
        <w:t>Two operators with a multi-year working partnership. Combined background: multiple SOC 2 Type II audit cycles run end-to-end, HIPAA/HITECH program experience, GDPR/CCPA work, and multi-million-dollar enterprise sales into regulated industries (insurance) — a compliance-operator-plus-regulated-closer pairing. One founder owns delivery, program design, and the system-of-record; the other owns marketing, the consultative close, and channel relationships.</w:t>
      </w:r>
    </w:p>
    <w:p>
      <w:pPr>
        <w:spacing w:after="120" w:before="0"/>
      </w:pPr>
      <w:r>
        <w:rPr>
          <w:b w:val="0"/>
          <w:i w:val="0"/>
          <w:sz w:val="21"/>
        </w:rPr>
        <w:t>The honest gap — no direct DIB experience and no pre-existing CMMC relationships — is closed deliberately: a named RP/CCP reviewing all work product, a senior DoD/security advisor recruited before launch, voluntary RPO, paid design partners, and credibility earned through demonstrated assessment quality. The founders’ own SOC 2 Type II operating experience also lets them stand up SecureControls’ own security posture without buying expensive help.</w:t>
      </w:r>
    </w:p>
    <w:p>
      <w:pPr>
        <w:pStyle w:val="Heading1"/>
      </w:pPr>
      <w:r>
        <w:rPr>
          <w:color w:val="1F3864"/>
          <w:sz w:val="32"/>
        </w:rPr>
        <w:t>7. Financial Plan</w:t>
      </w:r>
    </w:p>
    <w:p>
      <w:pPr>
        <w:pStyle w:val="Heading2"/>
      </w:pPr>
      <w:r>
        <w:rPr>
          <w:color w:val="1F3864"/>
          <w:sz w:val="26"/>
        </w:rPr>
        <w:t>Unit Economics (steady state, per account)</w:t>
      </w:r>
    </w:p>
    <w:p>
      <w:pPr>
        <w:pStyle w:val="ListBullet"/>
        <w:spacing w:after="60"/>
      </w:pPr>
      <w:r>
        <w:rPr>
          <w:b/>
        </w:rPr>
        <w:t xml:space="preserve">Onboarding: </w:t>
      </w:r>
      <w:r>
        <w:t>$9,500–$15,000 one-time; loaded delivery cost trends from ~$8–12K early to ~$4–6K once templated (the key margin lever).</w:t>
      </w:r>
    </w:p>
    <w:p>
      <w:pPr>
        <w:pStyle w:val="ListBullet"/>
        <w:spacing w:after="60"/>
      </w:pPr>
      <w:r>
        <w:rPr>
          <w:b/>
        </w:rPr>
        <w:t xml:space="preserve">Recurring: </w:t>
      </w:r>
      <w:r>
        <w:t>$18K–$42K/year; blended target ~$26K.</w:t>
      </w:r>
    </w:p>
    <w:p>
      <w:pPr>
        <w:pStyle w:val="ListBullet"/>
        <w:spacing w:after="60"/>
      </w:pPr>
      <w:r>
        <w:rPr>
          <w:b/>
        </w:rPr>
        <w:t xml:space="preserve">Steady-state recurring gross margin: </w:t>
      </w:r>
      <w:r>
        <w:t>70–80% once templated (lower, ~55–65%, in year one).</w:t>
      </w:r>
    </w:p>
    <w:p>
      <w:pPr>
        <w:pStyle w:val="ListBullet"/>
        <w:spacing w:after="60"/>
      </w:pPr>
      <w:r>
        <w:rPr>
          <w:b/>
        </w:rPr>
        <w:t xml:space="preserve">Retention: </w:t>
      </w:r>
      <w:r>
        <w:t>structurally high — the obligation never ends and the evidence system-of-record is sticky.</w:t>
      </w:r>
    </w:p>
    <w:p>
      <w:pPr>
        <w:pStyle w:val="Heading2"/>
      </w:pPr>
      <w:r>
        <w:rPr>
          <w:color w:val="1F3864"/>
          <w:sz w:val="26"/>
        </w:rPr>
        <w:t>The Path to the Income Ladder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1F3864"/>
          </w:tcPr>
          <w:p>
            <w:r/>
            <w:r>
              <w:rPr>
                <w:b/>
                <w:color w:val="FFFFFF"/>
                <w:sz w:val="19"/>
              </w:rPr>
              <w:t>Milestone</w:t>
            </w:r>
          </w:p>
        </w:tc>
        <w:tc>
          <w:tcPr>
            <w:tcW w:type="dxa" w:w="1440"/>
            <w:shd w:val="clear" w:color="auto" w:fill="1F3864"/>
          </w:tcPr>
          <w:p>
            <w:r/>
            <w:r>
              <w:rPr>
                <w:b/>
                <w:color w:val="FFFFFF"/>
                <w:sz w:val="19"/>
              </w:rPr>
              <w:t>Active accounts</w:t>
            </w:r>
          </w:p>
        </w:tc>
        <w:tc>
          <w:tcPr>
            <w:tcW w:type="dxa" w:w="2160"/>
            <w:shd w:val="clear" w:color="auto" w:fill="1F3864"/>
          </w:tcPr>
          <w:p>
            <w:r/>
            <w:r>
              <w:rPr>
                <w:b/>
                <w:color w:val="FFFFFF"/>
                <w:sz w:val="19"/>
              </w:rPr>
              <w:t>~Recurring run-rate</w:t>
            </w:r>
          </w:p>
        </w:tc>
        <w:tc>
          <w:tcPr>
            <w:tcW w:type="dxa" w:w="2880"/>
            <w:shd w:val="clear" w:color="auto" w:fill="1F3864"/>
          </w:tcPr>
          <w:p>
            <w:r/>
            <w:r>
              <w:rPr>
                <w:b/>
                <w:color w:val="FFFFFF"/>
                <w:sz w:val="19"/>
              </w:rPr>
              <w:t>Team</w:t>
            </w:r>
          </w:p>
        </w:tc>
        <w:tc>
          <w:tcPr>
            <w:tcW w:type="dxa" w:w="2304"/>
            <w:shd w:val="clear" w:color="auto" w:fill="1F3864"/>
          </w:tcPr>
          <w:p>
            <w:r/>
            <w:r>
              <w:rPr>
                <w:b/>
                <w:color w:val="FFFFFF"/>
                <w:sz w:val="19"/>
              </w:rPr>
              <w:t>Distributable / founder</w:t>
            </w:r>
          </w:p>
        </w:tc>
      </w:tr>
      <w:tr>
        <w:tc>
          <w:tcPr>
            <w:tcW w:type="dxa" w:w="2448"/>
          </w:tcPr>
          <w:p>
            <w:r/>
            <w:r>
              <w:rPr>
                <w:sz w:val="19"/>
              </w:rPr>
              <w:t>Month 12 (base case)</w:t>
            </w:r>
          </w:p>
        </w:tc>
        <w:tc>
          <w:tcPr>
            <w:tcW w:type="dxa" w:w="1440"/>
          </w:tcPr>
          <w:p>
            <w:r/>
            <w:r>
              <w:rPr>
                <w:sz w:val="19"/>
              </w:rPr>
              <w:t>~28</w:t>
            </w:r>
          </w:p>
        </w:tc>
        <w:tc>
          <w:tcPr>
            <w:tcW w:type="dxa" w:w="2160"/>
          </w:tcPr>
          <w:p>
            <w:r/>
            <w:r>
              <w:rPr>
                <w:sz w:val="19"/>
              </w:rPr>
              <w:t>~$730K ARR + onboarding</w:t>
            </w:r>
          </w:p>
        </w:tc>
        <w:tc>
          <w:tcPr>
            <w:tcW w:type="dxa" w:w="2880"/>
          </w:tcPr>
          <w:p>
            <w:r/>
            <w:r>
              <w:rPr>
                <w:sz w:val="19"/>
              </w:rPr>
              <w:t>2 founders + 1 analyst + fractional RP</w:t>
            </w:r>
          </w:p>
        </w:tc>
        <w:tc>
          <w:tcPr>
            <w:tcW w:type="dxa" w:w="2304"/>
          </w:tcPr>
          <w:p>
            <w:r/>
            <w:r>
              <w:rPr>
                <w:sz w:val="19"/>
              </w:rPr>
              <w:t>~$300K</w:t>
            </w:r>
          </w:p>
        </w:tc>
      </w:tr>
      <w:tr>
        <w:tc>
          <w:tcPr>
            <w:tcW w:type="dxa" w:w="2448"/>
          </w:tcPr>
          <w:p>
            <w:r/>
            <w:r>
              <w:rPr>
                <w:sz w:val="19"/>
              </w:rPr>
              <w:t>Month 24 (base case)</w:t>
            </w:r>
          </w:p>
        </w:tc>
        <w:tc>
          <w:tcPr>
            <w:tcW w:type="dxa" w:w="1440"/>
          </w:tcPr>
          <w:p>
            <w:r/>
            <w:r>
              <w:rPr>
                <w:sz w:val="19"/>
              </w:rPr>
              <w:t>~55</w:t>
            </w:r>
          </w:p>
        </w:tc>
        <w:tc>
          <w:tcPr>
            <w:tcW w:type="dxa" w:w="2160"/>
          </w:tcPr>
          <w:p>
            <w:r/>
            <w:r>
              <w:rPr>
                <w:sz w:val="19"/>
              </w:rPr>
              <w:t>~$1.45M ARR</w:t>
            </w:r>
          </w:p>
        </w:tc>
        <w:tc>
          <w:tcPr>
            <w:tcW w:type="dxa" w:w="2880"/>
          </w:tcPr>
          <w:p>
            <w:r/>
            <w:r>
              <w:rPr>
                <w:sz w:val="19"/>
              </w:rPr>
              <w:t>2 founders + 2 analysts + RP</w:t>
            </w:r>
          </w:p>
        </w:tc>
        <w:tc>
          <w:tcPr>
            <w:tcW w:type="dxa" w:w="2304"/>
          </w:tcPr>
          <w:p>
            <w:r/>
            <w:r>
              <w:rPr>
                <w:sz w:val="19"/>
              </w:rPr>
              <w:t>~$500K</w:t>
            </w:r>
          </w:p>
        </w:tc>
      </w:tr>
      <w:tr>
        <w:tc>
          <w:tcPr>
            <w:tcW w:type="dxa" w:w="2448"/>
          </w:tcPr>
          <w:p>
            <w:r/>
            <w:r>
              <w:rPr>
                <w:sz w:val="19"/>
              </w:rPr>
              <w:t>Upside (not committed)</w:t>
            </w:r>
          </w:p>
        </w:tc>
        <w:tc>
          <w:tcPr>
            <w:tcW w:type="dxa" w:w="1440"/>
          </w:tcPr>
          <w:p>
            <w:r/>
            <w:r>
              <w:rPr>
                <w:sz w:val="19"/>
              </w:rPr>
              <w:t>80–100+</w:t>
            </w:r>
          </w:p>
        </w:tc>
        <w:tc>
          <w:tcPr>
            <w:tcW w:type="dxa" w:w="2160"/>
          </w:tcPr>
          <w:p>
            <w:r/>
            <w:r>
              <w:rPr>
                <w:sz w:val="19"/>
              </w:rPr>
              <w:t>~$2.1–2.6M ARR</w:t>
            </w:r>
          </w:p>
        </w:tc>
        <w:tc>
          <w:tcPr>
            <w:tcW w:type="dxa" w:w="2880"/>
          </w:tcPr>
          <w:p>
            <w:r/>
            <w:r>
              <w:rPr>
                <w:sz w:val="19"/>
              </w:rPr>
              <w:t>+ CS lead + 2nd RP</w:t>
            </w:r>
          </w:p>
        </w:tc>
        <w:tc>
          <w:tcPr>
            <w:tcW w:type="dxa" w:w="2304"/>
          </w:tcPr>
          <w:p>
            <w:r/>
            <w:r>
              <w:rPr>
                <w:sz w:val="19"/>
              </w:rPr>
              <w:t>toward $1M combined; $2M only with full templatization</w:t>
            </w:r>
          </w:p>
        </w:tc>
      </w:tr>
    </w:tbl>
    <w:p>
      <w:pPr>
        <w:spacing w:after="40"/>
      </w:pPr>
    </w:p>
    <w:p>
      <w:pPr>
        <w:spacing w:after="120" w:before="0"/>
      </w:pPr>
      <w:r>
        <w:rPr>
          <w:b w:val="0"/>
          <w:i w:val="0"/>
          <w:sz w:val="21"/>
        </w:rPr>
        <w:t>Honest note: the $500K-per-founder rung is labor-gated — it depends on driving onboarding’s loaded cost down through templatization and on analyst hires landing on time. We commit to the ladder, not to the $2M-combined upside.</w:t>
      </w:r>
    </w:p>
    <w:p>
      <w:pPr>
        <w:pStyle w:val="Heading2"/>
      </w:pPr>
      <w:r>
        <w:rPr>
          <w:color w:val="1F3864"/>
          <w:sz w:val="26"/>
        </w:rPr>
        <w:t>Cash Flow and Capital</w:t>
      </w:r>
    </w:p>
    <w:p>
      <w:pPr>
        <w:spacing w:after="120" w:before="0"/>
      </w:pPr>
      <w:r>
        <w:rPr>
          <w:b w:val="0"/>
          <w:i w:val="0"/>
          <w:sz w:val="21"/>
        </w:rPr>
        <w:t>Subscriptions are billed annually or quarterly in advance and onboarding is collected up front, so the business is negative-working-capital and funds its own growth. Startup capital of $30K–$60K covers the system-of-record build (~8–12 dev-weeks; revenue can begin on document-delivered onboarding before the portal is finished), E&amp;O/cyber insurance, legal/contract setup, the fractional advisor, and initial marketing. Cash-flow positive by month 9–12.</w:t>
      </w:r>
    </w:p>
    <w:p>
      <w:pPr>
        <w:pStyle w:val="Heading1"/>
      </w:pPr>
      <w:r>
        <w:rPr>
          <w:color w:val="1F3864"/>
          <w:sz w:val="32"/>
        </w:rPr>
        <w:t>8. Risk Register</w:t>
      </w:r>
    </w:p>
    <w:p>
      <w:pPr>
        <w:spacing w:after="120" w:before="0"/>
      </w:pPr>
      <w:r>
        <w:rPr>
          <w:b w:val="0"/>
          <w:i w:val="0"/>
          <w:sz w:val="21"/>
        </w:rPr>
        <w:t>Ten risks ranked by potential business impact, with mitigations.</w:t>
      </w:r>
    </w:p>
    <w:p>
      <w:pPr>
        <w:spacing w:after="80"/>
      </w:pPr>
      <w:r>
        <w:rPr>
          <w:b/>
        </w:rPr>
        <w:t xml:space="preserve">1. Attestation / False Claims Act spillover. </w:t>
      </w:r>
      <w:r>
        <w:t>A later dispute over a customer’s SPRS score could pull us in as a witness or contribution target (DOJ Civil Cyber-Fraud Initiative is active). Mitigation: the customer always attests; clear scope and “not a guarantee” posture; MSA capping liability at 12 months of fees; E&amp;O + cyber insurance bound before customer one; documented evidence trails.</w:t>
      </w:r>
    </w:p>
    <w:p>
      <w:pPr>
        <w:spacing w:after="80"/>
      </w:pPr>
      <w:r>
        <w:rPr>
          <w:b/>
        </w:rPr>
        <w:t xml:space="preserve">2. CUI boundary creep. </w:t>
      </w:r>
      <w:r>
        <w:t>Customers will want to “just upload the file.” Mitigation: artifact-only by design and ToS; a technical control blocking raw-CUI upload; intake screening; staff training.</w:t>
      </w:r>
    </w:p>
    <w:p>
      <w:pPr>
        <w:spacing w:after="80"/>
      </w:pPr>
      <w:r>
        <w:rPr>
          <w:b/>
        </w:rPr>
        <w:t xml:space="preserve">3. GRC-platform encroachment / copyable differentiation. </w:t>
      </w:r>
      <w:r>
        <w:t>Vanta/Drata move down-market; the service is copyable. Mitigation: lock prime-referral and MEP/APEX channels early; differentiate on operated depth and prime-facing reassurance; run on top of the platforms for the smallest shops.</w:t>
      </w:r>
    </w:p>
    <w:p>
      <w:pPr>
        <w:spacing w:after="80"/>
      </w:pPr>
      <w:r>
        <w:rPr>
          <w:b/>
        </w:rPr>
        <w:t xml:space="preserve">4. Labor-gated onboarding / margin and throughput. </w:t>
      </w:r>
      <w:r>
        <w:t>Onboarding is heavy and front-loaded. Mitigation: price onboarding toward loaded cost; make templatizing onboarding the #1 operational project; measure and drive down loaded hours cohort over cohort.</w:t>
      </w:r>
    </w:p>
    <w:p>
      <w:pPr>
        <w:spacing w:after="80"/>
      </w:pPr>
      <w:r>
        <w:rPr>
          <w:b/>
        </w:rPr>
        <w:t xml:space="preserve">5. Single-practitioner judgment bottleneck / bus factor. </w:t>
      </w:r>
      <w:r>
        <w:t>Mitigation: a hard QC gate (RP sign-off on every SPRS post), a second RP before ~30 customers, templated control interpretations.</w:t>
      </w:r>
    </w:p>
    <w:p>
      <w:pPr>
        <w:spacing w:after="80"/>
      </w:pPr>
      <w:r>
        <w:rPr>
          <w:b/>
        </w:rPr>
        <w:t xml:space="preserve">6. Content drift (NIST 800-171 Rev 3 → CMMC). </w:t>
      </w:r>
      <w:r>
        <w:t>Mitigation: advisor-maintained, version-stamped content with a recurring update line and change alerts.</w:t>
      </w:r>
    </w:p>
    <w:p>
      <w:pPr>
        <w:spacing w:after="80"/>
      </w:pPr>
      <w:r>
        <w:rPr>
          <w:b/>
        </w:rPr>
        <w:t xml:space="preserve">7. Funnel / demand validation. </w:t>
      </w:r>
      <w:r>
        <w:t>Mitigation: a 60–90 day validation window with explicit gates; outreach to 100+ ICP subs; rework the motion below a 3% engagement floor.</w:t>
      </w:r>
    </w:p>
    <w:p>
      <w:pPr>
        <w:spacing w:after="80"/>
      </w:pPr>
      <w:r>
        <w:rPr>
          <w:b/>
        </w:rPr>
        <w:t xml:space="preserve">8. Assessment quality bar. </w:t>
      </w:r>
      <w:r>
        <w:t>A generic-feeling AI assessment damages the brand in a gossipy ecosystem. Mitigation: pre-launch RP validation against the work product they’d produce; two iteration cycles then a kill decision.</w:t>
      </w:r>
    </w:p>
    <w:p>
      <w:pPr>
        <w:spacing w:after="80"/>
      </w:pPr>
      <w:r>
        <w:rPr>
          <w:b/>
        </w:rPr>
        <w:t xml:space="preserve">9. Buyers demand our own security posture. </w:t>
      </w:r>
      <w:r>
        <w:t>Mitigation: the founders’ SOC 2 Type II background lets us stand up SOC 2 within ~9–12 months of revenue, used as a sales asset.</w:t>
      </w:r>
    </w:p>
    <w:p>
      <w:pPr>
        <w:spacing w:after="80"/>
      </w:pPr>
      <w:r>
        <w:rPr>
          <w:b/>
        </w:rPr>
        <w:t xml:space="preserve">10. Indemnification pressure / concentration. </w:t>
      </w:r>
      <w:r>
        <w:t>Mitigation: MSA caps indemnification at 12 months of fees, no deal without the cap; deliberate diversification across prime ecosystems.</w:t>
      </w:r>
    </w:p>
    <w:p>
      <w:pPr>
        <w:pStyle w:val="Heading1"/>
      </w:pPr>
      <w:r>
        <w:rPr>
          <w:color w:val="1F3864"/>
          <w:sz w:val="32"/>
        </w:rPr>
        <w:t>9. Milestones and Validation Gates</w:t>
      </w:r>
    </w:p>
    <w:p>
      <w:pPr>
        <w:pStyle w:val="Heading2"/>
      </w:pPr>
      <w:r>
        <w:rPr>
          <w:color w:val="1F3864"/>
          <w:sz w:val="26"/>
        </w:rPr>
        <w:t>Pre-Launch Validation (Days 0–90, under $25,000)</w:t>
      </w:r>
    </w:p>
    <w:p>
      <w:pPr>
        <w:pStyle w:val="ListBullet"/>
        <w:spacing w:after="60"/>
      </w:pPr>
      <w:r>
        <w:rPr>
          <w:b/>
        </w:rPr>
        <w:t xml:space="preserve">Gate 1 — Liability architecture confirmed. </w:t>
      </w:r>
      <w:r>
        <w:t>Counsel confirms the artifact-only / never-custody-CUI design and “customer-attests” posture bound our exposure; obtain a written E&amp;O + cyber quote against that scope. (The single highest-leverage de-risking step.)</w:t>
      </w:r>
    </w:p>
    <w:p>
      <w:pPr>
        <w:pStyle w:val="ListBullet"/>
        <w:spacing w:after="60"/>
      </w:pPr>
      <w:r>
        <w:rPr>
          <w:b/>
        </w:rPr>
        <w:t xml:space="preserve">Gate 2 — Assessment quality. </w:t>
      </w:r>
      <w:r>
        <w:t>Build the prototype; retain an RP for 5–10 paid hours. Pass: the RP agrees the output meets their bar.</w:t>
      </w:r>
    </w:p>
    <w:p>
      <w:pPr>
        <w:pStyle w:val="ListBullet"/>
        <w:spacing w:after="60"/>
      </w:pPr>
      <w:r>
        <w:rPr>
          <w:b/>
        </w:rPr>
        <w:t xml:space="preserve">Gate 3 — Funnel engagement. </w:t>
      </w:r>
      <w:r>
        <w:t>Outreach to 100 named ICP subs; measure assessment-completion rate. Pass above 10%; fail below 3%.</w:t>
      </w:r>
    </w:p>
    <w:p>
      <w:pPr>
        <w:pStyle w:val="ListBullet"/>
        <w:spacing w:after="60"/>
      </w:pPr>
      <w:r>
        <w:rPr>
          <w:b/>
        </w:rPr>
        <w:t xml:space="preserve">Gate 4 — Willingness to pay. </w:t>
      </w:r>
      <w:r>
        <w:t>Convert 2–3 paid design partners at published pricing. Pass: signed onboarding + subscription, cash in advance.</w:t>
      </w:r>
    </w:p>
    <w:p>
      <w:pPr>
        <w:pStyle w:val="Heading2"/>
      </w:pPr>
      <w:r>
        <w:rPr>
          <w:color w:val="1F3864"/>
          <w:sz w:val="26"/>
        </w:rPr>
        <w:t>Build &amp; Scale (Months 1–24)</w:t>
      </w:r>
    </w:p>
    <w:p>
      <w:pPr>
        <w:spacing w:after="120" w:before="0"/>
      </w:pPr>
      <w:r>
        <w:rPr>
          <w:b w:val="0"/>
          <w:i w:val="0"/>
          <w:sz w:val="21"/>
        </w:rPr>
        <w:t>System-of-record MVP (8–12 dev-weeks; onboarding delivered document-first in parallel); first 5–10 paying customers; first analyst hire; SOC 2 Type II program started; templatize onboarding; second RP before ~30 customers; lock 1–2 prime-referral channels; reach ~28 accounts (month 12) and ~55 accounts (month 24).</w:t>
      </w:r>
    </w:p>
    <w:p>
      <w:r>
        <w:br w:type="page"/>
      </w:r>
    </w:p>
    <w:p>
      <w:r>
        <w:rPr>
          <w:b/>
          <w:color w:val="1F3864"/>
          <w:sz w:val="28"/>
        </w:rPr>
        <w:t>PART II — PHASE 2 OPTIONALITY: BEACONENCLAVE (FUTURE EXPANSION)</w:t>
      </w:r>
    </w:p>
    <w:p>
      <w:pPr>
        <w:spacing w:after="120" w:before="0"/>
      </w:pPr>
      <w:r>
        <w:rPr>
          <w:b w:val="0"/>
          <w:i/>
          <w:sz w:val="21"/>
        </w:rPr>
        <w:t>This part is intentionally framed as optionality, not commitment. SecureControls is designed to be a complete, durable business on its own. BeaconEnclave is a larger second business that SecureControls earns the right to build — pursued only if and when explicit gates pass.</w:t>
      </w:r>
    </w:p>
    <w:p>
      <w:pPr>
        <w:pStyle w:val="Heading1"/>
      </w:pPr>
      <w:r>
        <w:rPr>
          <w:color w:val="1F3864"/>
          <w:sz w:val="32"/>
        </w:rPr>
        <w:t>What BeaconEnclave Is</w:t>
      </w:r>
    </w:p>
    <w:p>
      <w:pPr>
        <w:spacing w:after="120" w:before="0"/>
      </w:pPr>
      <w:r>
        <w:rPr>
          <w:b w:val="0"/>
          <w:i w:val="0"/>
          <w:sz w:val="21"/>
        </w:rPr>
        <w:t>BeaconEnclave gives a small defense subcontractor a secure, CMMC Level 2–ready workspace for only the employees who handle CUI — without moving the whole company or hiring a CISO. It isolates the CUI-handling population (typically 3–25 people) into a single hardened AWS GovCloud enclave deployed into the customer’s own tenant, streams the familiar Microsoft Office apps inside it, and operates the security, identity, monitoring, and evidence around it. CUI lives in the customer-owned, FedRAMP-authorized tenant; BeaconEnclave operates via just-in-time, fully audited access and never owns or hosts CUI itself. Pricing is roughly $25,000 setup plus $8,500–$13,500/month — about 3–5× the ACV of a SecureControls subscription.</w:t>
      </w:r>
    </w:p>
    <w:p>
      <w:pPr>
        <w:pStyle w:val="Heading1"/>
      </w:pPr>
      <w:r>
        <w:rPr>
          <w:color w:val="1F3864"/>
          <w:sz w:val="32"/>
        </w:rPr>
        <w:t>Why the Sequence Works</w:t>
      </w:r>
    </w:p>
    <w:p>
      <w:pPr>
        <w:pStyle w:val="ListBullet"/>
        <w:spacing w:after="60"/>
      </w:pPr>
      <w:r>
        <w:rPr>
          <w:b/>
        </w:rPr>
        <w:t xml:space="preserve">Same customer, buyer, trigger, and lead magnet. </w:t>
      </w:r>
      <w:r>
        <w:t>Both serve the same small defense subs under the same DFARS forcing function, sold to the same owner/ops buyer, entered through the same free SPRS/readiness assessment. The hardest part — earning trust with a reference-driven buyer — transfers 1:1.</w:t>
      </w:r>
    </w:p>
    <w:p>
      <w:pPr>
        <w:pStyle w:val="ListBullet"/>
        <w:spacing w:after="60"/>
      </w:pPr>
      <w:r>
        <w:rPr>
          <w:b/>
        </w:rPr>
        <w:t xml:space="preserve">SecureControls manufactures BeaconEnclave demand. </w:t>
      </w:r>
      <w:r>
        <w:t>Running a sub’s 800-171 program reveals that its CUI is sitting in non-compliant commercial Microsoft 365 — exactly the problem an enclave solves. Phase 1 is the diagnostic that creates the Phase 2 upsell.</w:t>
      </w:r>
    </w:p>
    <w:p>
      <w:pPr>
        <w:pStyle w:val="ListBullet"/>
        <w:spacing w:after="60"/>
      </w:pPr>
      <w:r>
        <w:rPr>
          <w:b/>
        </w:rPr>
        <w:t xml:space="preserve">It retires BeaconEnclave’s biggest risks in advance. </w:t>
      </w:r>
      <w:r>
        <w:t>An enclave business’s top risks are founder domain-gap and funnel underperformance. Doing SecureControls first delivers references, an RP relationship, RPO status, and a warm installed base — so the heavier infrastructure play launches from earned credibility, not cold.</w:t>
      </w:r>
    </w:p>
    <w:p>
      <w:pPr>
        <w:pStyle w:val="ListBullet"/>
        <w:spacing w:after="60"/>
      </w:pPr>
      <w:r>
        <w:rPr>
          <w:b/>
        </w:rPr>
        <w:t xml:space="preserve">It fits the founders and de-risks capital. </w:t>
      </w:r>
      <w:r>
        <w:t>Phase 1 is lighter to build, cheaper, faster to cash-flow-positive, and lower-liability — proving the business (and the founders’ appetite for heavier ops) before the bigger bet.</w:t>
      </w:r>
    </w:p>
    <w:p>
      <w:pPr>
        <w:pStyle w:val="Heading1"/>
      </w:pPr>
      <w:r>
        <w:rPr>
          <w:color w:val="1F3864"/>
          <w:sz w:val="32"/>
        </w:rPr>
        <w:t>The Gated Roadmap</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color="auto" w:fill="1F3864"/>
          </w:tcPr>
          <w:p>
            <w:r/>
            <w:r>
              <w:rPr>
                <w:b/>
                <w:color w:val="FFFFFF"/>
                <w:sz w:val="19"/>
              </w:rPr>
              <w:t>Phase</w:t>
            </w:r>
          </w:p>
        </w:tc>
        <w:tc>
          <w:tcPr>
            <w:tcW w:type="dxa" w:w="3600"/>
            <w:shd w:val="clear" w:color="auto" w:fill="1F3864"/>
          </w:tcPr>
          <w:p>
            <w:r/>
            <w:r>
              <w:rPr>
                <w:b/>
                <w:color w:val="FFFFFF"/>
                <w:sz w:val="19"/>
              </w:rPr>
              <w:t>What we do</w:t>
            </w:r>
          </w:p>
        </w:tc>
        <w:tc>
          <w:tcPr>
            <w:tcW w:type="dxa" w:w="2448"/>
            <w:shd w:val="clear" w:color="auto" w:fill="1F3864"/>
          </w:tcPr>
          <w:p>
            <w:r/>
            <w:r>
              <w:rPr>
                <w:b/>
                <w:color w:val="FFFFFF"/>
                <w:sz w:val="19"/>
              </w:rPr>
              <w:t>Risk taken</w:t>
            </w:r>
          </w:p>
        </w:tc>
        <w:tc>
          <w:tcPr>
            <w:tcW w:type="dxa" w:w="2880"/>
            <w:shd w:val="clear" w:color="auto" w:fill="1F3864"/>
          </w:tcPr>
          <w:p>
            <w:r/>
            <w:r>
              <w:rPr>
                <w:b/>
                <w:color w:val="FFFFFF"/>
                <w:sz w:val="19"/>
              </w:rPr>
              <w:t>Decision gate to advance</w:t>
            </w:r>
          </w:p>
        </w:tc>
      </w:tr>
      <w:tr>
        <w:tc>
          <w:tcPr>
            <w:tcW w:type="dxa" w:w="2016"/>
          </w:tcPr>
          <w:p>
            <w:r/>
            <w:r>
              <w:rPr>
                <w:sz w:val="19"/>
              </w:rPr>
              <w:t>1 — SecureControls</w:t>
            </w:r>
          </w:p>
        </w:tc>
        <w:tc>
          <w:tcPr>
            <w:tcW w:type="dxa" w:w="3600"/>
          </w:tcPr>
          <w:p>
            <w:r/>
            <w:r>
              <w:rPr>
                <w:sz w:val="19"/>
              </w:rPr>
              <w:t>Land customers; build brand, references, RP/RPO; reach the income ladder and cash-flow positive</w:t>
            </w:r>
          </w:p>
        </w:tc>
        <w:tc>
          <w:tcPr>
            <w:tcW w:type="dxa" w:w="2448"/>
          </w:tcPr>
          <w:p>
            <w:r/>
            <w:r>
              <w:rPr>
                <w:sz w:val="19"/>
              </w:rPr>
              <w:t>Low (artifact-only, light build)</w:t>
            </w:r>
          </w:p>
        </w:tc>
        <w:tc>
          <w:tcPr>
            <w:tcW w:type="dxa" w:w="2880"/>
          </w:tcPr>
          <w:p>
            <w:r/>
            <w:r>
              <w:rPr>
                <w:sz w:val="19"/>
              </w:rPr>
              <w:t>Stable recurring revenue; refer environment needs to a partner</w:t>
            </w:r>
          </w:p>
        </w:tc>
      </w:tr>
      <w:tr>
        <w:tc>
          <w:tcPr>
            <w:tcW w:type="dxa" w:w="2016"/>
          </w:tcPr>
          <w:p>
            <w:r/>
            <w:r>
              <w:rPr>
                <w:sz w:val="19"/>
              </w:rPr>
              <w:t>1.5 — Partner-delivered enclave</w:t>
            </w:r>
          </w:p>
        </w:tc>
        <w:tc>
          <w:tcPr>
            <w:tcW w:type="dxa" w:w="3600"/>
          </w:tcPr>
          <w:p>
            <w:r/>
            <w:r>
              <w:rPr>
                <w:sz w:val="19"/>
              </w:rPr>
              <w:t>Resell / white-label a partner’s enclave to our own base; capture margin; learn delivery</w:t>
            </w:r>
          </w:p>
        </w:tc>
        <w:tc>
          <w:tcPr>
            <w:tcW w:type="dxa" w:w="2448"/>
          </w:tcPr>
          <w:p>
            <w:r/>
            <w:r>
              <w:rPr>
                <w:sz w:val="19"/>
              </w:rPr>
              <w:t>Low (no infrastructure risk)</w:t>
            </w:r>
          </w:p>
        </w:tc>
        <w:tc>
          <w:tcPr>
            <w:tcW w:type="dxa" w:w="2880"/>
          </w:tcPr>
          <w:p>
            <w:r/>
            <w:r>
              <w:rPr>
                <w:sz w:val="19"/>
              </w:rPr>
              <w:t>Enough of our base buys it to prove enclave unit economics</w:t>
            </w:r>
          </w:p>
        </w:tc>
      </w:tr>
      <w:tr>
        <w:tc>
          <w:tcPr>
            <w:tcW w:type="dxa" w:w="2016"/>
          </w:tcPr>
          <w:p>
            <w:r/>
            <w:r>
              <w:rPr>
                <w:sz w:val="19"/>
              </w:rPr>
              <w:t>2 — Build BeaconEnclave</w:t>
            </w:r>
          </w:p>
        </w:tc>
        <w:tc>
          <w:tcPr>
            <w:tcW w:type="dxa" w:w="3600"/>
          </w:tcPr>
          <w:p>
            <w:r/>
            <w:r>
              <w:rPr>
                <w:sz w:val="19"/>
              </w:rPr>
              <w:t>Stand up our own single GovCloud enclave spine; managed security operations</w:t>
            </w:r>
          </w:p>
        </w:tc>
        <w:tc>
          <w:tcPr>
            <w:tcW w:type="dxa" w:w="2448"/>
          </w:tcPr>
          <w:p>
            <w:r/>
            <w:r>
              <w:rPr>
                <w:sz w:val="19"/>
              </w:rPr>
              <w:t>Higher (infrastructure + security ops + liability)</w:t>
            </w:r>
          </w:p>
        </w:tc>
        <w:tc>
          <w:tcPr>
            <w:tcW w:type="dxa" w:w="2880"/>
          </w:tcPr>
          <w:p>
            <w:r/>
            <w:r>
              <w:rPr>
                <w:sz w:val="19"/>
              </w:rPr>
              <w:t>Proven in-base demand + cash flow to fund build/insurance/hire + decision to take on MSSP-style ops</w:t>
            </w:r>
          </w:p>
        </w:tc>
      </w:tr>
    </w:tbl>
    <w:p>
      <w:pPr>
        <w:spacing w:after="40"/>
      </w:pPr>
    </w:p>
    <w:p>
      <w:pPr>
        <w:spacing w:after="120" w:before="0"/>
      </w:pPr>
      <w:r>
        <w:rPr>
          <w:b w:val="0"/>
          <w:i w:val="0"/>
          <w:sz w:val="21"/>
        </w:rPr>
        <w:t>The Phase 1.5 partner-delivery bridge is the key risk-reducer: it validates enclave demand inside our own base and teaches us the delivery before we take on any infrastructure or liability — turning the Phase 2 build from a leap into a data-backed decision.</w:t>
      </w:r>
    </w:p>
    <w:p>
      <w:pPr>
        <w:pStyle w:val="Heading1"/>
      </w:pPr>
      <w:r>
        <w:rPr>
          <w:color w:val="1F3864"/>
          <w:sz w:val="32"/>
        </w:rPr>
        <w:t>What Changes — and the Risks of the Transition</w:t>
      </w:r>
    </w:p>
    <w:p>
      <w:pPr>
        <w:pStyle w:val="ListBullet"/>
        <w:spacing w:after="60"/>
      </w:pPr>
      <w:r>
        <w:rPr>
          <w:b/>
        </w:rPr>
        <w:t xml:space="preserve">BeaconEnclave is a different kind of company. </w:t>
      </w:r>
      <w:r>
        <w:t>SecureControls is a compliance-operations service (people + light software). BeaconEnclave is a managed-infrastructure / MSSP business (live GovCloud infrastructure, security operations, on-call, a senior security engineer). This is a new technical and operational capability, not a feature add.</w:t>
      </w:r>
    </w:p>
    <w:p>
      <w:pPr>
        <w:pStyle w:val="ListBullet"/>
        <w:spacing w:after="60"/>
      </w:pPr>
      <w:r>
        <w:rPr>
          <w:b/>
        </w:rPr>
        <w:t xml:space="preserve">It re-imports the liability SecureControls was designed to avoid. </w:t>
      </w:r>
      <w:r>
        <w:t>SecureControls’ liability bound is “we never touch CUI.” BeaconEnclave operates the environment CUI lives in — taking on External-Service-Provider assessment scope and an existential single-incident risk across many customer enclaves. This requires higher cyber/tech E&amp;O, IR retainers, a SOC 2 program, and a day-one internal security program. Mitigated (customer-owned tenant; just-in-time audited access; indemnification caps) but not eliminated.</w:t>
      </w:r>
    </w:p>
    <w:p>
      <w:pPr>
        <w:pStyle w:val="ListBullet"/>
        <w:spacing w:after="60"/>
      </w:pPr>
      <w:r>
        <w:rPr>
          <w:b/>
        </w:rPr>
        <w:t xml:space="preserve">Timing tension. </w:t>
      </w:r>
      <w:r>
        <w:t>The Nov-2026 deadline is a demand spike and the enclave lane is filling (Summit 7, GCC High shops, enclave entrants). Spending too long in Phase 1 risks ceding the first wave — though the obligation is permanent and recurring, so the window is not a single shot.</w:t>
      </w:r>
    </w:p>
    <w:p>
      <w:pPr>
        <w:pStyle w:val="ListBullet"/>
        <w:spacing w:after="60"/>
      </w:pPr>
      <w:r>
        <w:rPr>
          <w:b/>
        </w:rPr>
        <w:t xml:space="preserve">Partner-to-competitor conflict. </w:t>
      </w:r>
      <w:r>
        <w:t>Building our own enclave converts the referral partners we relied on in Phase 1/1.5 into competitors. Plan the transition deliberately.</w:t>
      </w:r>
    </w:p>
    <w:p>
      <w:pPr>
        <w:pStyle w:val="ListBullet"/>
        <w:spacing w:after="60"/>
      </w:pPr>
      <w:r>
        <w:rPr>
          <w:b/>
        </w:rPr>
        <w:t xml:space="preserve">Focus risk for two founders. </w:t>
      </w:r>
      <w:r>
        <w:t>Adding an infrastructure line can destabilize a working compliance service. Phase 2 should be staffed (the senior security engineer hire) before it is launched, not after.</w:t>
      </w:r>
    </w:p>
    <w:p>
      <w:pPr>
        <w:pStyle w:val="Heading1"/>
      </w:pPr>
      <w:r>
        <w:rPr>
          <w:color w:val="1F3864"/>
          <w:sz w:val="32"/>
        </w:rPr>
        <w:t>Decision Gates Before Committing to Phase 2</w:t>
      </w:r>
    </w:p>
    <w:p>
      <w:pPr>
        <w:pStyle w:val="ListBullet"/>
        <w:spacing w:after="60"/>
      </w:pPr>
      <w:r>
        <w:t>A clear majority of active SecureControls customers express or demonstrate enclave need (measured via Phase 1.5 partner-delivered sales).</w:t>
      </w:r>
    </w:p>
    <w:p>
      <w:pPr>
        <w:pStyle w:val="ListBullet"/>
        <w:spacing w:after="60"/>
      </w:pPr>
      <w:r>
        <w:t>Partner-delivered enclave unit economics are proven and the gross-margin and support-load assumptions hold.</w:t>
      </w:r>
    </w:p>
    <w:p>
      <w:pPr>
        <w:pStyle w:val="ListBullet"/>
        <w:spacing w:after="60"/>
      </w:pPr>
      <w:r>
        <w:t>SecureControls cash flow can fund the heavier build, the higher insurance, and the senior-security-engineer hire without outside capital.</w:t>
      </w:r>
    </w:p>
    <w:p>
      <w:pPr>
        <w:pStyle w:val="ListBullet"/>
        <w:spacing w:after="60"/>
      </w:pPr>
      <w:r>
        <w:t>A named senior security engineer is identified and hireable.</w:t>
      </w:r>
    </w:p>
    <w:p>
      <w:pPr>
        <w:pStyle w:val="ListBullet"/>
        <w:spacing w:after="60"/>
      </w:pPr>
      <w:r>
        <w:t>The founders affirmatively choose to take on MSSP-style, 24/7-leaning security operations (a genuine departure from the lighter Phase 1 model).</w:t>
      </w:r>
    </w:p>
    <w:p>
      <w:pPr>
        <w:pStyle w:val="Heading1"/>
      </w:pPr>
      <w:r>
        <w:rPr>
          <w:color w:val="1F3864"/>
          <w:sz w:val="32"/>
        </w:rPr>
        <w:t>Phase 2 Economics Sketch (illustrative)</w:t>
      </w:r>
    </w:p>
    <w:p>
      <w:pPr>
        <w:spacing w:after="120" w:before="0"/>
      </w:pPr>
      <w:r>
        <w:rPr>
          <w:b w:val="0"/>
          <w:i w:val="0"/>
          <w:sz w:val="21"/>
        </w:rPr>
        <w:t>At ~$25K setup plus ~$8,500–$13,500/month, ~25–30 enclave customers generate roughly $3–$3.5M ARR — a materially larger business than Phase 1 at the same customer count, because ACV is 3–5× higher. Because the launch cohort is converted from existing, trusting SecureControls customers, customer-acquisition cost on the enclave line is far lower than a cold start. The trade is higher ACV and a deeper moat in exchange for a heavier build, higher operating liability, and a senior-engineering hire — which is precisely why it is gated.</w:t>
      </w:r>
    </w:p>
    <w:p>
      <w:pPr>
        <w:pStyle w:val="Heading1"/>
      </w:pPr>
      <w:r>
        <w:rPr>
          <w:color w:val="1F3864"/>
          <w:sz w:val="32"/>
        </w:rPr>
        <w:t>Closing Note</w:t>
      </w:r>
    </w:p>
    <w:p>
      <w:pPr>
        <w:spacing w:after="120" w:before="0"/>
      </w:pPr>
      <w:r>
        <w:rPr>
          <w:b w:val="0"/>
          <w:i w:val="0"/>
          <w:sz w:val="21"/>
        </w:rPr>
        <w:t>Build SecureControls to win on its own terms: a forced, recurring, budgeted must-have, served to a fragmented base of sleepy incumbents, delivered artifact-only so a small firm stays lean and insurable. Treat BeaconEnclave as earned optionality — reached through a partner-delivered bridge, gated on proven in-base demand and cash flow, and entered clear-eyed about the heavier build and the liability it re-introduces. Done this way, the expansion option is real upside layered on a business that already stands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