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Muster — Site Update Instructions: Specialize, Differentiate, Keep the Gap-Analysis Experience</w:t>
      </w:r>
    </w:p>
    <w:p>
      <w:r/>
      <w:r>
        <w:rPr>
          <w:b/>
        </w:rPr>
        <w:t>Prepared 2026-06-21 · companion to the council evaluation (Tier B, 76/100)</w:t>
      </w:r>
      <w:r/>
    </w:p>
    <w:p>
      <w:r>
        <w:t>This is a developer-ready spec. It does three things at once: (1) keep and *elevate*</w:t>
      </w:r>
    </w:p>
    <w:p>
      <w:r>
        <w:t>the upload-policies → gap-analysis experience you like, (2) make that experience the</w:t>
      </w:r>
    </w:p>
    <w:p>
      <w:r>
        <w:t>thing that proves your moat instead of threatening it, and (3) re-point the</w:t>
      </w:r>
    </w:p>
    <w:p>
      <w:r>
        <w:t>positioning at a defensible niche. Copy blocks are drop-in starting points.</w:t>
      </w:r>
    </w:p>
    <w:p>
      <w:r>
        <w:t>________________________________________</w:t>
      </w:r>
    </w:p>
    <w:p>
      <w:pPr>
        <w:pStyle w:val="Heading2"/>
      </w:pPr>
      <w:r>
        <w:t>Part 0 — The CUI question (read first; it drives everything below)</w:t>
      </w:r>
    </w:p>
    <w:p>
      <w:r/>
      <w:r>
        <w:rPr>
          <w:b/>
        </w:rPr>
        <w:t>Are a company's policies CUI? Almost always NO.</w:t>
      </w:r>
      <w:r>
        <w:t xml:space="preserve"> CUI is information the</w:t>
      </w:r>
    </w:p>
    <w:p>
      <w:r>
        <w:t>*government* originates or that you hold *on the government's behalf*, that a law or</w:t>
      </w:r>
    </w:p>
    <w:p>
      <w:r>
        <w:t>regulation requires to be protected — there are ~100+ defined categories (technical</w:t>
      </w:r>
    </w:p>
    <w:p>
      <w:r>
        <w:t>data/CTI, export-controlled data, etc.) in the NARA CUI Registry. A contractor's own</w:t>
      </w:r>
    </w:p>
    <w:p>
      <w:r>
        <w:t>information-security **policies and procedures are the contractor's own business</w:t>
      </w:r>
    </w:p>
    <w:p>
      <w:r>
        <w:t>records describing how they protect CUI — they are not themselves a CUI category.** So</w:t>
      </w:r>
    </w:p>
    <w:p>
      <w:r>
        <w:t xml:space="preserve">letting a customer upload their policies for a gap analysis does </w:t>
      </w:r>
      <w:r>
        <w:rPr>
          <w:b/>
        </w:rPr>
        <w:t>not</w:t>
      </w:r>
      <w:r>
        <w:t xml:space="preserve"> mean you are</w:t>
      </w:r>
    </w:p>
    <w:p>
      <w:r>
        <w:t>"touching their CUI." The feature is compatible with the wedge.</w:t>
      </w:r>
    </w:p>
    <w:p>
      <w:r>
        <w:t>**But the line that actually governs your moat is not CUI — it's "Security Protection</w:t>
      </w:r>
    </w:p>
    <w:p>
      <w:r>
        <w:t>Data" (SPD).** Under the CMMC rule (32 CFR 170.19), an outside vendor becomes an</w:t>
      </w:r>
    </w:p>
    <w:p>
      <w:r>
        <w:t xml:space="preserve">in-scope </w:t>
      </w:r>
      <w:r>
        <w:rPr>
          <w:b/>
        </w:rPr>
        <w:t>External Service Provider (ESP)</w:t>
      </w:r>
      <w:r>
        <w:t xml:space="preserve"> — and gets pulled into your customer's</w:t>
      </w:r>
    </w:p>
    <w:p>
      <w:r>
        <w:t xml:space="preserve">assessment — if it *processes, stores, or transmits* </w:t>
      </w:r>
      <w:r>
        <w:rPr>
          <w:b/>
        </w:rPr>
        <w:t>CUI OR SPD</w:t>
      </w:r>
      <w:r>
        <w:t>. SPD is the</w:t>
      </w:r>
    </w:p>
    <w:p>
      <w:r>
        <w:t>operational security data: **configuration data, log files, vulnerability-scan</w:t>
      </w:r>
    </w:p>
    <w:p>
      <w:r>
        <w:t>results, the security/config status of in-scope assets, and passwords/credentials.**</w:t>
      </w:r>
    </w:p>
    <w:p>
      <w:r>
        <w:t>The rule explicitly says ordinary SaaS (HR, accounting) that holds none of that is</w:t>
      </w:r>
    </w:p>
    <w:p>
      <w:r/>
      <w:r>
        <w:rPr>
          <w:b/>
        </w:rPr>
        <w:t>not</w:t>
      </w:r>
      <w:r>
        <w:t xml:space="preserve"> an ESP. </w:t>
      </w:r>
      <w:r>
        <w:rPr>
          <w:b/>
        </w:rPr>
        <w:t>That carve-out is exactly the box Muster must stay inside.</w:t>
      </w:r>
      <w:r/>
    </w:p>
    <w:p>
      <w:r/>
      <w:r>
        <w:rPr>
          <w:b/>
        </w:rPr>
        <w:t>The practical rule that becomes your differentiator:</w:t>
      </w:r>
      <w:r/>
    </w:p>
    <w:p>
      <w:pPr>
        <w:pStyle w:val="ListBullet"/>
      </w:pPr>
      <w:r/>
      <w:r>
        <w:rPr>
          <w:b/>
        </w:rPr>
        <w:t>Safe to ingest (not CUI, not SPD):</w:t>
      </w:r>
      <w:r>
        <w:t xml:space="preserve"> written policies, procedures, control-</w:t>
      </w:r>
    </w:p>
    <w:p>
      <w:r>
        <w:t xml:space="preserve">  implementation narratives, POA&amp;M items, SSP *prose*, questionnaire answers, and</w:t>
      </w:r>
    </w:p>
    <w:p>
      <w:r>
        <w:t xml:space="preserve">  *descriptions/pointers* to evidence. Holding these keeps you out of scope.</w:t>
      </w:r>
    </w:p>
    <w:p>
      <w:pPr>
        <w:pStyle w:val="ListBullet"/>
      </w:pPr>
      <w:r/>
      <w:r>
        <w:rPr>
          <w:b/>
        </w:rPr>
        <w:t>Never ingest (this is CUI or SPD — it breaks the moat):</w:t>
      </w:r>
      <w:r>
        <w:t xml:space="preserve"> raw firewall/device</w:t>
      </w:r>
    </w:p>
    <w:p>
      <w:r>
        <w:t xml:space="preserve">  configs, log files, vulnerability-scan exports, network/data-flow diagrams,</w:t>
      </w:r>
    </w:p>
    <w:p>
      <w:r>
        <w:t xml:space="preserve">  credentials, and anything containing controlled technical data or contract data.</w:t>
      </w:r>
    </w:p>
    <w:p>
      <w:pPr>
        <w:pStyle w:val="ListBullet"/>
      </w:pPr>
      <w:r/>
      <w:r>
        <w:rPr>
          <w:b/>
        </w:rPr>
        <w:t>Precise claim wording</w:t>
      </w:r>
      <w:r>
        <w:t xml:space="preserve"> (don't overclaim): *"We analyze your policies and</w:t>
      </w:r>
    </w:p>
    <w:p>
      <w:r>
        <w:t xml:space="preserve">  compliance documentation. By design, your CUI and your operational security data —</w:t>
      </w:r>
    </w:p>
    <w:p>
      <w:r>
        <w:t xml:space="preserve">  configs, logs, scans, credentials — never enter Muster, so we stay outside your</w:t>
      </w:r>
    </w:p>
    <w:p>
      <w:r>
        <w:t xml:space="preserve">  CMMC assessment boundary."*</w:t>
      </w:r>
    </w:p>
    <w:p>
      <w:r/>
      <w:r>
        <w:rPr>
          <w:b/>
        </w:rPr>
        <w:t>Action that turns this from slogan into moat:</w:t>
      </w:r>
      <w:r>
        <w:t xml:space="preserve"> get a government-contracts-counsel</w:t>
      </w:r>
    </w:p>
    <w:p>
      <w:r>
        <w:t>opinion confirming the above keeps you out of ESP scope, and publish a **Customer</w:t>
      </w:r>
    </w:p>
    <w:p>
      <w:r>
        <w:t>Responsibility Matrix (CRM)** + data-handling page (Part 3.1). That is the single</w:t>
      </w:r>
    </w:p>
    <w:p>
      <w:r>
        <w:t>highest-leverage differentiation move you can make, because the funded platforms</w:t>
      </w:r>
    </w:p>
    <w:p>
      <w:r>
        <w:t>(Vanta/Drata/Secureframe) and the enclave bundlers *can't* honestly publish that page</w:t>
      </w:r>
    </w:p>
    <w:p>
      <w:r>
        <w:t>without abandoning their hosting business.</w:t>
      </w:r>
    </w:p>
    <w:p>
      <w:r>
        <w:t>________________________________________</w:t>
      </w:r>
    </w:p>
    <w:p>
      <w:pPr>
        <w:pStyle w:val="Heading2"/>
      </w:pPr>
      <w:r>
        <w:t>Part 1 — One decision to confirm: the niche</w:t>
      </w:r>
    </w:p>
    <w:p>
      <w:r>
        <w:t>The council's sharpest finding: "fixed price" and "operated for you" are already sold</w:t>
      </w:r>
    </w:p>
    <w:p>
      <w:r>
        <w:t>at scale (CyberSheath, OSIbeyond), so they can't be your headline. Specialization is</w:t>
      </w:r>
    </w:p>
    <w:p>
      <w:r>
        <w:t>how a two-person team beats a crowded field.</w:t>
      </w:r>
    </w:p>
    <w:p>
      <w:r>
        <w:t>**Recommended niche (confirm or swap): precision machine / metal-fabrication / CNC</w:t>
      </w:r>
    </w:p>
    <w:p>
      <w:r>
        <w:t>shops, 15–50 employees, 1–3 named primes.** Rationale: it's where your warm leads</w:t>
      </w:r>
    </w:p>
    <w:p>
      <w:r>
        <w:t>likely cluster; horizontal platforms and generalist RPOs literally can't speak</w:t>
      </w:r>
    </w:p>
    <w:p>
      <w:r>
        <w:t>machine-shop; the community is tight and referral-driven; and you can pre-build</w:t>
      </w:r>
    </w:p>
    <w:p>
      <w:r>
        <w:t>shop-specific control templates. Everywhere below, [NICHE] = this segment and</w:t>
      </w:r>
    </w:p>
    <w:p>
      <w:r>
        <w:t>[PRIME] = a specific prime (Lockheed, RTX, etc.). If you'd rather pick a different</w:t>
      </w:r>
    </w:p>
    <w:p>
      <w:r>
        <w:t>vertical, swap those tokens — the structure holds.</w:t>
      </w:r>
    </w:p>
    <w:p>
      <w:r>
        <w:t>________________________________________</w:t>
      </w:r>
    </w:p>
    <w:p>
      <w:pPr>
        <w:pStyle w:val="Heading2"/>
      </w:pPr>
      <w:r>
        <w:t>Part 2 — The gap-analysis flow: keep it, make it safe, make it the wedge</w:t>
      </w:r>
    </w:p>
    <w:p>
      <w:r>
        <w:t>You're right not to lose this — an instant gap analysis off real documents converts</w:t>
      </w:r>
    </w:p>
    <w:p>
      <w:r>
        <w:t>far better than a dry questionnaire. Three upgrades:</w:t>
      </w:r>
    </w:p>
    <w:p>
      <w:pPr>
        <w:pStyle w:val="Heading3"/>
      </w:pPr>
      <w:r>
        <w:t>2.1 Keep the upload → analyze → gap-analysis core</w:t>
      </w:r>
    </w:p>
    <w:p>
      <w:r>
        <w:t>Leave the experience intact. Everything below wraps and elevates it.</w:t>
      </w:r>
    </w:p>
    <w:p>
      <w:pPr>
        <w:pStyle w:val="Heading3"/>
      </w:pPr>
      <w:r>
        <w:t>2.2 Bake in the data boundary (this is what makes it safe AND special)</w:t>
      </w:r>
    </w:p>
    <w:p>
      <w:r>
        <w:t>Before/at upload, constrain what can come in:</w:t>
      </w:r>
    </w:p>
    <w:p>
      <w:pPr>
        <w:pStyle w:val="ListBullet"/>
      </w:pPr>
      <w:r/>
      <w:r>
        <w:rPr>
          <w:b/>
        </w:rPr>
        <w:t>Accept:</w:t>
      </w:r>
      <w:r>
        <w:t xml:space="preserve"> .pdf/.docx/.md/.txt policy &amp; procedure documents, and structured</w:t>
      </w:r>
    </w:p>
    <w:p>
      <w:r>
        <w:t xml:space="preserve">  control-status answers. Frame the ask as *"Upload your security policies and</w:t>
      </w:r>
    </w:p>
    <w:p>
      <w:r>
        <w:t xml:space="preserve">  procedures"* — never *"upload your evidence/configs."*</w:t>
      </w:r>
    </w:p>
    <w:p>
      <w:pPr>
        <w:pStyle w:val="ListBullet"/>
      </w:pPr>
      <w:r/>
      <w:r>
        <w:rPr>
          <w:b/>
        </w:rPr>
        <w:t>Add an explicit, friendly boundary notice at the upload control</w:t>
      </w:r>
      <w:r>
        <w:t xml:space="preserve"> (copy):</w:t>
      </w:r>
    </w:p>
    <w:p>
      <w:r>
        <w:t xml:space="preserve">  &gt; </w:t>
      </w:r>
      <w:r>
        <w:rPr>
          <w:b/>
        </w:rPr>
        <w:t>Upload policies — not CUI.</w:t>
      </w:r>
      <w:r>
        <w:t xml:space="preserve"> Muster reads your written security *policies and</w:t>
      </w:r>
    </w:p>
    <w:p>
      <w:r>
        <w:t xml:space="preserve">  &gt; procedures* to find gaps. Please don't upload anything containing CUI or live</w:t>
      </w:r>
    </w:p>
    <w:p>
      <w:r>
        <w:t xml:space="preserve">  &gt; security data — no network diagrams, scan reports, device configs, or contract</w:t>
      </w:r>
    </w:p>
    <w:p>
      <w:r>
        <w:t xml:space="preserve">  &gt; files. Here's why that matters: it's exactly how we stay out of your CMMC scope.</w:t>
      </w:r>
    </w:p>
    <w:p>
      <w:r>
        <w:t xml:space="preserve">  &gt; *(link: "What we accept and why")*</w:t>
      </w:r>
    </w:p>
    <w:p>
      <w:pPr>
        <w:pStyle w:val="ListBullet"/>
      </w:pPr>
      <w:r/>
      <w:r>
        <w:rPr>
          <w:b/>
        </w:rPr>
        <w:t>Guardrails in code:</w:t>
      </w:r>
      <w:r>
        <w:t xml:space="preserve"> enforce file-type/size allow-list; run a lightweight</w:t>
      </w:r>
    </w:p>
    <w:p>
      <w:r>
        <w:t xml:space="preserve">  client- and server-side scan that flags likely CUI/SPD (keywords like</w:t>
      </w:r>
    </w:p>
    <w:p>
      <w:r>
        <w:t xml:space="preserve">  "ITAR", "export controlled", "SECRET", presence of image-heavy diagram pages, or</w:t>
      </w:r>
    </w:p>
    <w:p>
      <w:r>
        <w:t xml:space="preserve">  obvious config/log syntax) and *warns/blocks* with the boundary message rather than</w:t>
      </w:r>
    </w:p>
    <w:p>
      <w:r>
        <w:t xml:space="preserve">  silently accepting. Strip EXIF/metadata. Never log file contents.</w:t>
      </w:r>
    </w:p>
    <w:p>
      <w:pPr>
        <w:pStyle w:val="Heading3"/>
      </w:pPr>
      <w:r>
        <w:t>2.3 Elevate the output (make it the best free gap analysis in the niche)</w:t>
      </w:r>
    </w:p>
    <w:p>
      <w:pPr>
        <w:pStyle w:val="ListBullet"/>
      </w:pPr>
      <w:r>
        <w:t xml:space="preserve">Map findings to </w:t>
      </w:r>
      <w:r>
        <w:rPr>
          <w:b/>
        </w:rPr>
        <w:t>all 110 NIST 800-171 objectives</w:t>
      </w:r>
      <w:r>
        <w:t xml:space="preserve"> + the **deterministic SPRS</w:t>
      </w:r>
    </w:p>
    <w:p>
      <w:r>
        <w:t xml:space="preserve">  estimate</w:t>
      </w:r>
      <w:r>
        <w:rPr>
          <w:b/>
        </w:rPr>
        <w:t xml:space="preserve"> (current + target). Label it clearly an </w:t>
      </w:r>
      <w:r>
        <w:t>estimate**, not an official</w:t>
      </w:r>
    </w:p>
    <w:p>
      <w:r>
        <w:t xml:space="preserve">  posting.</w:t>
      </w:r>
    </w:p>
    <w:p>
      <w:pPr>
        <w:pStyle w:val="ListBullet"/>
      </w:pPr>
      <w:r/>
      <w:r>
        <w:rPr>
          <w:b/>
        </w:rPr>
        <w:t>Vertical-tune the language</w:t>
      </w:r>
      <w:r>
        <w:t xml:space="preserve"> to [NICHE] (e.g., reference CNC controllers,</w:t>
      </w:r>
    </w:p>
    <w:p>
      <w:r>
        <w:t xml:space="preserve">  shop-floor workstations, ITAR drawing handling) so it reads like it was built for a</w:t>
      </w:r>
    </w:p>
    <w:p>
      <w:r>
        <w:t xml:space="preserve">  machine shop, not a generic SaaS.</w:t>
      </w:r>
    </w:p>
    <w:p>
      <w:pPr>
        <w:pStyle w:val="ListBullet"/>
      </w:pPr>
      <w:r>
        <w:t xml:space="preserve">Output a </w:t>
      </w:r>
      <w:r>
        <w:rPr>
          <w:b/>
        </w:rPr>
        <w:t>prioritized, plain-English remediation list</w:t>
      </w:r>
      <w:r>
        <w:t xml:space="preserve"> ("fix these 5 first, here's</w:t>
      </w:r>
    </w:p>
    <w:p>
      <w:r>
        <w:t xml:space="preserve">  why each costs you points").</w:t>
      </w:r>
    </w:p>
    <w:p>
      <w:pPr>
        <w:pStyle w:val="ListBullet"/>
      </w:pPr>
      <w:r/>
      <w:r>
        <w:rPr>
          <w:b/>
        </w:rPr>
        <w:t>End every report with a trust seal:</w:t>
      </w:r>
      <w:r>
        <w:t xml:space="preserve"> *"This analysis read only your policies.</w:t>
      </w:r>
    </w:p>
    <w:p>
      <w:r>
        <w:t xml:space="preserve">  Your CUI and security data never entered Muster."* — this makes the boundary the</w:t>
      </w:r>
    </w:p>
    <w:p>
      <w:r>
        <w:t xml:space="preserve">  emotional payoff, not a limitation.</w:t>
      </w:r>
    </w:p>
    <w:p>
      <w:pPr>
        <w:pStyle w:val="Heading3"/>
      </w:pPr>
      <w:r>
        <w:t>2.4 Persist + notify (fixes the current lead-drop)</w:t>
      </w:r>
    </w:p>
    <w:p>
      <w:r>
        <w:t>The deployed /api/assessment/start only console.logs — leads are lost. Wire it to:</w:t>
      </w:r>
    </w:p>
    <w:p>
      <w:r>
        <w:t xml:space="preserve">persist the lead </w:t>
      </w:r>
      <w:r>
        <w:rPr>
          <w:b/>
        </w:rPr>
        <w:t>and</w:t>
      </w:r>
      <w:r>
        <w:t xml:space="preserve"> the generated report to a datastore (Postgres/Supabase or, as</w:t>
      </w:r>
    </w:p>
    <w:p>
      <w:r>
        <w:t>a stopgap, an email + a sheet); send the report to the user; notify the founders;</w:t>
      </w:r>
    </w:p>
    <w:p>
      <w:r>
        <w:t>fire analytics/conversion events (assessment-started, completed, report-viewed,</w:t>
      </w:r>
    </w:p>
    <w:p>
      <w:r>
        <w:t>call-booked). No paid traffic until this is done.</w:t>
      </w:r>
    </w:p>
    <w:p>
      <w:r>
        <w:t>________________________________________</w:t>
      </w:r>
    </w:p>
    <w:p>
      <w:pPr>
        <w:pStyle w:val="Heading2"/>
      </w:pPr>
      <w:r>
        <w:t>Part 3 — New / changed pages</w:t>
      </w:r>
    </w:p>
    <w:p>
      <w:pPr>
        <w:pStyle w:val="Heading3"/>
      </w:pPr>
      <w:r>
        <w:t>3.1 NEW: "Scope &amp; Data Handling" page (the moat, made visible) — highest priority</w:t>
      </w:r>
    </w:p>
    <w:p>
      <w:r>
        <w:t>The page the competition can't copy. Include: the plain-English data boundary (Part</w:t>
      </w:r>
    </w:p>
    <w:p>
      <w:r>
        <w:t xml:space="preserve">0); a downloadable </w:t>
      </w:r>
      <w:r>
        <w:rPr>
          <w:b/>
        </w:rPr>
        <w:t>Customer Responsibility Matrix (CRM)</w:t>
      </w:r>
      <w:r>
        <w:t>; the explicit statement</w:t>
      </w:r>
    </w:p>
    <w:p>
      <w:r>
        <w:t>that Muster is *not* an ESP under 32 CFR 170 because it holds neither CUI nor SPD; and</w:t>
      </w:r>
    </w:p>
    <w:p>
      <w:r>
        <w:t>(once you have it) a line that counsel has reviewed the posture. Link to it from the</w:t>
      </w:r>
    </w:p>
    <w:p>
      <w:r>
        <w:t>hero, the upload control, and the footer.</w:t>
      </w:r>
    </w:p>
    <w:p>
      <w:pPr>
        <w:pStyle w:val="Heading3"/>
      </w:pPr>
      <w:r>
        <w:t>3.2 CHANGE: Home hero + `/the-difference` → lead with niche + artifact-only</w:t>
      </w:r>
    </w:p>
    <w:p>
      <w:pPr>
        <w:pStyle w:val="ListBullet"/>
      </w:pPr>
      <w:r/>
      <w:r>
        <w:rPr>
          <w:b/>
        </w:rPr>
        <w:t>New H1 (copy):</w:t>
      </w:r>
      <w:r>
        <w:t xml:space="preserve"> *"CMMC and SPRS, handled — for [NICHE]. We never touch your</w:t>
      </w:r>
    </w:p>
    <w:p>
      <w:r>
        <w:t xml:space="preserve">  CUI."*</w:t>
      </w:r>
    </w:p>
    <w:p>
      <w:pPr>
        <w:pStyle w:val="ListBullet"/>
      </w:pPr>
      <w:r/>
      <w:r>
        <w:rPr>
          <w:b/>
        </w:rPr>
        <w:t>New subhead:</w:t>
      </w:r>
      <w:r>
        <w:t xml:space="preserve"> *"Muster keeps your SPRS score correct and your evidence</w:t>
      </w:r>
    </w:p>
    <w:p>
      <w:r>
        <w:t xml:space="preserve">  audit-ready every quarter — built for [NICHE] shops, operated for you, and</w:t>
      </w:r>
    </w:p>
    <w:p>
      <w:r>
        <w:t xml:space="preserve">  architected so your CUI never enters our systems."*</w:t>
      </w:r>
    </w:p>
    <w:p>
      <w:pPr>
        <w:pStyle w:val="ListBullet"/>
      </w:pPr>
      <w:r>
        <w:t>Demote "fixed price / operated for you" from headline to a supporting bullet (still</w:t>
      </w:r>
    </w:p>
    <w:p>
      <w:r>
        <w:t xml:space="preserve">  true, no longer the lead — because it's commoditized).</w:t>
      </w:r>
    </w:p>
    <w:p>
      <w:pPr>
        <w:pStyle w:val="Heading3"/>
      </w:pPr>
      <w:r>
        <w:t>3.3 NEW: "Built for `[NICHE]`" page</w:t>
      </w:r>
    </w:p>
    <w:p>
      <w:r>
        <w:t>Speak the niche's language: their primes, their CUI (drawings/CTI), their reality (no</w:t>
      </w:r>
    </w:p>
    <w:p>
      <w:r>
        <w:t>IT staff, owner owns SPRS). Show a [NICHE]-specific sample gap report. This is what</w:t>
      </w:r>
    </w:p>
    <w:p>
      <w:r>
        <w:t>a generalist competitor can't fake.</w:t>
      </w:r>
    </w:p>
    <w:p>
      <w:pPr>
        <w:pStyle w:val="Heading3"/>
      </w:pPr>
      <w:r>
        <w:t>3.4 NEW (programmatic): "For subs to `[PRIME]`" landing pages</w:t>
      </w:r>
    </w:p>
    <w:p>
      <w:r>
        <w:t>One page per major prime ("CMMC &amp; SPRS for Lockheed suppliers"), each pre-loaded with</w:t>
      </w:r>
    </w:p>
    <w:p>
      <w:r>
        <w:t>that prime's flow-down specifics. Strong SEO + the setup for the Part 4 moat feature.</w:t>
      </w:r>
    </w:p>
    <w:p>
      <w:pPr>
        <w:pStyle w:val="Heading3"/>
      </w:pPr>
      <w:r>
        <w:t>3.5 CHANGE: `/about` → remove the placeholder bios</w:t>
      </w:r>
    </w:p>
    <w:p>
      <w:r>
        <w:t>The live page has TODO placeholder roles. Name the founders, the senior DoD/DIB</w:t>
      </w:r>
    </w:p>
    <w:p>
      <w:r>
        <w:t>advisor, and "RP/CCP-reviewed." Trust is the whole sale; an anonymous About page</w:t>
      </w:r>
    </w:p>
    <w:p>
      <w:r>
        <w:t>undercuts it.</w:t>
      </w:r>
    </w:p>
    <w:p>
      <w:r>
        <w:t>________________________________________</w:t>
      </w:r>
    </w:p>
    <w:p>
      <w:pPr>
        <w:pStyle w:val="Heading2"/>
      </w:pPr>
      <w:r>
        <w:t>Part 4 — Differentiation features to build (beyond copy)</w:t>
      </w:r>
    </w:p>
    <w:p>
      <w:r>
        <w:t>Ranked by moat value:</w:t>
      </w:r>
    </w:p>
    <w:p>
      <w:pPr>
        <w:pStyle w:val="ListNumber"/>
      </w:pPr>
      <w:r/>
      <w:r>
        <w:rPr>
          <w:b/>
        </w:rPr>
        <w:t>Prime-specific questionnaire auto-answer library.</w:t>
      </w:r>
      <w:r>
        <w:t xml:space="preserve"> Specialize in your customers'</w:t>
      </w:r>
    </w:p>
    <w:p>
      <w:r>
        <w:t xml:space="preserve">   actual primes: ingest each prime's real flow-down security questionnaire and build</w:t>
      </w:r>
    </w:p>
    <w:p>
      <w:r>
        <w:t xml:space="preserve">   a reusable, mapped answer set. "We've answered the [PRIME] supplier questionnaire</w:t>
      </w:r>
    </w:p>
    <w:p>
      <w:r>
        <w:t xml:space="preserve">   dozens of times" is a *data* moat that compounds with every customer and is genuinely</w:t>
      </w:r>
    </w:p>
    <w:p>
      <w:r>
        <w:t xml:space="preserve">   hard to copy. This is your strongest defensible asset over time.</w:t>
      </w:r>
    </w:p>
    <w:p>
      <w:pPr>
        <w:pStyle w:val="ListNumber"/>
      </w:pPr>
      <w:r/>
      <w:r>
        <w:rPr>
          <w:b/>
        </w:rPr>
        <w:t>The CRM / scope-letter generator.</w:t>
      </w:r>
      <w:r>
        <w:t xml:space="preserve"> Productize the ESP boundary: auto-generate the</w:t>
      </w:r>
    </w:p>
    <w:p>
      <w:r>
        <w:t xml:space="preserve">   Customer Responsibility Matrix and a short "Muster is out of your assessment scope"</w:t>
      </w:r>
    </w:p>
    <w:p>
      <w:r>
        <w:t xml:space="preserve">   letter each customer can hand their C3PAO. Nobody else leads with this; it directly</w:t>
      </w:r>
    </w:p>
    <w:p>
      <w:r>
        <w:t xml:space="preserve">   monetizes the artifact-only posture.</w:t>
      </w:r>
    </w:p>
    <w:p>
      <w:pPr>
        <w:pStyle w:val="ListNumber"/>
      </w:pPr>
      <w:r/>
      <w:r>
        <w:rPr>
          <w:b/>
        </w:rPr>
        <w:t>"Forever," not "scramble," tooling.</w:t>
      </w:r>
      <w:r>
        <w:t xml:space="preserve"> Lean into the recurring obligation the</w:t>
      </w:r>
    </w:p>
    <w:p>
      <w:r>
        <w:t xml:space="preserve">   one-time consultants ignore: continuous drift alerts, the annual-affirmation</w:t>
      </w:r>
    </w:p>
    <w:p>
      <w:r>
        <w:t xml:space="preserve">   workflow, automatic quarterly SPRS re-posting reminders. Position: *"built for</w:t>
      </w:r>
    </w:p>
    <w:p>
      <w:r>
        <w:t xml:space="preserve">   every-quarter-forever, not the one-time project."*</w:t>
      </w:r>
    </w:p>
    <w:p>
      <w:pPr>
        <w:pStyle w:val="ListNumber"/>
      </w:pPr>
      <w:r/>
      <w:r>
        <w:rPr>
          <w:b/>
        </w:rPr>
        <w:t>"Works on top of your Vanta / Drata / MSP."</w:t>
      </w:r>
      <w:r>
        <w:t xml:space="preserve"> Add an integration message and (later)</w:t>
      </w:r>
    </w:p>
    <w:p>
      <w:r>
        <w:t xml:space="preserve">   light import. This reframes the platforms as *complements*, not just competitors —</w:t>
      </w:r>
    </w:p>
    <w:p>
      <w:r>
        <w:t xml:space="preserve">   and blunts the reach-down risk by making you the operated layer on top of their tool.</w:t>
      </w:r>
    </w:p>
    <w:p>
      <w:r>
        <w:t>________________________________________</w:t>
      </w:r>
    </w:p>
    <w:p>
      <w:pPr>
        <w:pStyle w:val="Heading2"/>
      </w:pPr>
      <w:r>
        <w:t>Part 5 — Claims discipline (keep it legally clean as you sharpen it)</w:t>
      </w:r>
    </w:p>
    <w:p>
      <w:pPr>
        <w:pStyle w:val="ListBullet"/>
      </w:pPr>
      <w:r>
        <w:t xml:space="preserve">Keep every score labeled an </w:t>
      </w:r>
      <w:r>
        <w:rPr>
          <w:b/>
        </w:rPr>
        <w:t>estimate</w:t>
      </w:r>
      <w:r>
        <w:t>; keep "we prepare, you attest"; never imply a</w:t>
      </w:r>
    </w:p>
    <w:p>
      <w:r>
        <w:t xml:space="preserve">  </w:t>
      </w:r>
      <w:r>
        <w:rPr>
          <w:b/>
        </w:rPr>
        <w:t>guaranteed</w:t>
      </w:r>
      <w:r>
        <w:t xml:space="preserve"> CMMC pass (FTC §5 + the False Claims Act preparer risk the Legal seat</w:t>
      </w:r>
    </w:p>
    <w:p>
      <w:r>
        <w:t xml:space="preserve">  flagged).</w:t>
      </w:r>
    </w:p>
    <w:p>
      <w:pPr>
        <w:pStyle w:val="ListBullet"/>
      </w:pPr>
      <w:r>
        <w:t xml:space="preserve">Use the </w:t>
      </w:r>
      <w:r>
        <w:rPr>
          <w:b/>
        </w:rPr>
        <w:t>precise</w:t>
      </w:r>
      <w:r>
        <w:t xml:space="preserve"> CUI wording from Part 0 — "policies and documentation, never your</w:t>
      </w:r>
    </w:p>
    <w:p>
      <w:r>
        <w:t xml:space="preserve">  CUI or security data" — not a blanket "we never see anything sensitive."</w:t>
      </w:r>
    </w:p>
    <w:p>
      <w:pPr>
        <w:pStyle w:val="ListBullet"/>
      </w:pPr>
      <w:r>
        <w:t>Have counsel review the Scope &amp; Data Handling page and the CRM before they go live.</w:t>
      </w:r>
    </w:p>
    <w:p>
      <w:r>
        <w:t>________________________________________</w:t>
      </w:r>
    </w:p>
    <w:p>
      <w:pPr>
        <w:pStyle w:val="Heading2"/>
      </w:pPr>
      <w:r>
        <w:t>Part 6 — Suggested sequence</w:t>
      </w:r>
    </w:p>
    <w:p>
      <w:r/>
      <w:r>
        <w:rPr>
          <w:b/>
        </w:rPr>
        <w:t>This week:</w:t>
      </w:r>
      <w:r>
        <w:t xml:space="preserve"> (1) fix lead/report persistence + analytics (Part 2.4) — stop losing</w:t>
      </w:r>
    </w:p>
    <w:p>
      <w:r>
        <w:t>leads; (2) add the upload boundary notice + guardrails (Part 2.2); (3) name the team</w:t>
      </w:r>
    </w:p>
    <w:p>
      <w:r>
        <w:t>on /about.</w:t>
      </w:r>
    </w:p>
    <w:p>
      <w:r/>
      <w:r>
        <w:rPr>
          <w:b/>
        </w:rPr>
        <w:t>Next 2–3 weeks:</w:t>
      </w:r>
      <w:r>
        <w:t xml:space="preserve"> (4) re-point the hero + the difference to niche + artifact-only</w:t>
      </w:r>
    </w:p>
    <w:p>
      <w:r>
        <w:t>(Part 3.2); (5) ship the Scope &amp; Data Handling page + CRM (Part 3.1); (6) the "Built</w:t>
      </w:r>
    </w:p>
    <w:p>
      <w:r>
        <w:t>for [NICHE]" page (Part 3.3).</w:t>
      </w:r>
    </w:p>
    <w:p>
      <w:r/>
      <w:r>
        <w:rPr>
          <w:b/>
        </w:rPr>
        <w:t>This quarter:</w:t>
      </w:r>
      <w:r>
        <w:t xml:space="preserve"> (7) prime-specific questionnaire library + landing pages (4.1, 3.4);</w:t>
      </w:r>
    </w:p>
    <w:p>
      <w:r>
        <w:t>(8) the CRM generator (4.2); (9) the counsel scope opinion that upgrades the page from</w:t>
      </w:r>
    </w:p>
    <w:p>
      <w:r>
        <w:t>"our claim" to "counsel-reviewed."</w:t>
      </w:r>
    </w:p>
    <w:p>
      <w:r/>
      <w:r>
        <w:rPr>
          <w:b/>
        </w:rPr>
        <w:t>The single test that proves it worked (by ~month 6):</w:t>
      </w:r>
      <w:r>
        <w:t xml:space="preserve"> the share of closed customers</w:t>
      </w:r>
    </w:p>
    <w:p>
      <w:r>
        <w:t>that came through niche/channel/prime referral at near-zero CAC vs. paid search. If the</w:t>
      </w:r>
    </w:p>
    <w:p>
      <w:r>
        <w:t>specialized positioning + the gap-analysis wedge are working, referrals carry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