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ONE-PAGE SCORECARD — Self-Serve CMMC Compliance Software for Small Defense Subcontractors</w:t>
      </w:r>
    </w:p>
    <w:p>
      <w:r/>
      <w:r>
        <w:rPr>
          <w:b/>
        </w:rPr>
        <w:t>Tier: B (Promising — Deep-Dive)  |  Objectives Weighted Score: 73 / 100  |  Date: 2026-06-22</w:t>
      </w:r>
      <w:r/>
    </w:p>
    <w:p>
      <w:r/>
      <w:r>
        <w:rPr>
          <w:b/>
        </w:rPr>
        <w:t>Forcing-function type:</w:t>
      </w:r>
      <w:r>
        <w:t xml:space="preserve"> #1 Regulatory/compliance mandate (with a #2 contractual/prime-flow-down edge)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One-line reason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Market pull / must-have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Forced, recurring, budgeted, legally-mandated buy with a Nov 2026 deadline; minus one because the strictest forced step (third-party certification) is out of scope.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Competition &amp; defensibility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The exact product already ships under FutureFeed/Greypike/SMPL-C at equal-or-lower price; funded horizontals (Vanta/Secureframe/Apptega) loom above; not the sleepy market the thesis needs.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Path to founder income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Bottoms-up math closes at ~143 customers (mo12) / ~238 (mo24); income timing tight but reachable.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Recurring revenue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True billed-in-advance subscription + recurring re-assessment; churn-after-pass unproven.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Probability / demand evidence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Demand is A-grade and well-sourced; execution/conversion is the uncertainty, not demand.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Capital efficiency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Low-five-figure launch, negative working capital, ~88% margin.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Operations (not field-ops)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All-software, remote, no field ops; two founders + maybe one cheap hire carry it.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Skill / founder fit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Marketing + software + real compliance-operator experience; missing credential is bridgeable, not required at launch.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Scalability optionality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Lean lifestyle or scalable/sellable; classic SaaS leverage.</w:t>
            </w:r>
          </w:p>
        </w:tc>
      </w:tr>
    </w:tbl>
    <w:p>
      <w:r/>
      <w:r>
        <w:rPr>
          <w:b/>
        </w:rPr>
        <w:t>Objectives Weighted Score: 73 / 100</w:t>
      </w:r>
      <w:r/>
    </w:p>
    <w:p>
      <w:r/>
      <w:r>
        <w:rPr>
          <w:b/>
        </w:rPr>
        <w:t>Six expert averages (secondary, not the gate):</w:t>
      </w:r>
      <w:r/>
    </w:p>
    <w:p>
      <w:r>
        <w:t xml:space="preserve">CFO </w:t>
      </w:r>
      <w:r>
        <w:rPr>
          <w:b/>
        </w:rPr>
        <w:t>8.1</w:t>
      </w:r>
      <w:r>
        <w:t xml:space="preserve">  |  CMO </w:t>
      </w:r>
      <w:r>
        <w:rPr>
          <w:b/>
        </w:rPr>
        <w:t>7.0</w:t>
      </w:r>
      <w:r>
        <w:t xml:space="preserve">  |  COO </w:t>
      </w:r>
      <w:r>
        <w:rPr>
          <w:b/>
        </w:rPr>
        <w:t>8.3</w:t>
      </w:r>
      <w:r>
        <w:t xml:space="preserve">  |  Legal </w:t>
      </w:r>
      <w:r>
        <w:rPr>
          <w:b/>
        </w:rPr>
        <w:t>7.8</w:t>
      </w:r>
      <w:r>
        <w:t xml:space="preserve">  |  CTO </w:t>
      </w:r>
      <w:r>
        <w:rPr>
          <w:b/>
        </w:rPr>
        <w:t>7.2</w:t>
      </w:r>
      <w:r>
        <w:t xml:space="preserve">  |  Competitive </w:t>
      </w:r>
      <w:r>
        <w:rPr>
          <w:b/>
        </w:rPr>
        <w:t>5.0</w:t>
      </w:r>
      <w:r/>
    </w:p>
    <w:p>
      <w:r/>
      <w:r>
        <w:rPr>
          <w:b/>
        </w:rPr>
        <w:t>Legal risk-gate rating:</w:t>
      </w:r>
      <w:r>
        <w:t xml:space="preserve"> SERIOUS-BUT-MANAGEABLE (does not lower the tier; due-diligence checklist only)</w:t>
      </w:r>
    </w:p>
    <w:p>
      <w:r/>
      <w:r>
        <w:rPr>
          <w:b/>
        </w:rPr>
        <w:t>Lowest single sub-score anywhere:</w:t>
      </w:r>
      <w:r>
        <w:t xml:space="preserve"> 3 (Competitive Analyst — competitive whitespace, differentiation durability, reach-down risk)</w:t>
      </w:r>
    </w:p>
    <w:p>
      <w:r/>
      <w:r>
        <w:rPr>
          <w:b/>
        </w:rPr>
        <w:t>Hard-constraint check:</w:t>
      </w:r>
      <w:r>
        <w:t xml:space="preserve"> #5 (well-funded strong-tech incumbents) strained to its limit but NOT cleanly tripped — the reason this is B not A. All other hard constraints PASS.</w:t>
      </w:r>
    </w:p>
    <w:p>
      <w:r/>
      <w:r>
        <w:rPr>
          <w:b/>
        </w:rPr>
        <w:t>What moves it up a tier (B → A):</w:t>
      </w:r>
      <w:r>
        <w:t xml:space="preserve"> A 60-90 day test proving the free funnel converts in a narrow, genuinely under-served seam the giants ignore (the sub-15-person, no-IT, single-prime shop), held on distribution/trust rather than copyable features. If the seam is open and conversion clears → A. If the funnel leaks to the free government tool (Project Spectrum) and the $99 incumbent (FutureFeed) → 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