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Muster Self-Serve — One-Page Scorecard</w:t>
      </w:r>
    </w:p>
    <w:p>
      <w:r/>
      <w:r>
        <w:rPr>
          <w:b/>
        </w:rPr>
        <w:t>Concept:</w:t>
      </w:r>
      <w:r>
        <w:t xml:space="preserve"> CMMC-only self-serve compliance software for small defense subcontractors</w:t>
      </w:r>
    </w:p>
    <w:p>
      <w:r/>
      <w:r>
        <w:rPr>
          <w:b/>
        </w:rPr>
        <w:t>Tier: C (Pass / Reposition)  |  Objectives Weighted Score: 62.6 / 100  |  Date: 2026-06-21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C — Pass / Reposition</w:t>
            </w:r>
          </w:p>
        </w:tc>
      </w:tr>
      <w:tr>
        <w:tc>
          <w:tcPr>
            <w:tcW w:type="dxa" w:w="4320"/>
          </w:tcPr>
          <w:p>
            <w:r>
              <w:t>Objectives Score</w:t>
            </w:r>
          </w:p>
        </w:tc>
        <w:tc>
          <w:tcPr>
            <w:tcW w:type="dxa" w:w="4320"/>
          </w:tcPr>
          <w:p>
            <w:r>
              <w:t>62.6 / 100 (post-red-team)</w:t>
            </w:r>
          </w:p>
        </w:tc>
      </w:tr>
      <w:tr>
        <w:tc>
          <w:tcPr>
            <w:tcW w:type="dxa" w:w="4320"/>
          </w:tcPr>
          <w:p>
            <w:r>
              <w:t>Legal risk-gate</w:t>
            </w:r>
          </w:p>
        </w:tc>
        <w:tc>
          <w:tcPr>
            <w:tcW w:type="dxa" w:w="4320"/>
          </w:tcPr>
          <w:p>
            <w:r>
              <w:t>SERIOUS BUT MANAGEABLE (not fatal; does not lower tier)</w:t>
            </w:r>
          </w:p>
        </w:tc>
      </w:tr>
      <w:tr>
        <w:tc>
          <w:tcPr>
            <w:tcW w:type="dxa" w:w="4320"/>
          </w:tcPr>
          <w:p>
            <w:r>
              <w:t>Lowest single sub-score</w:t>
            </w:r>
          </w:p>
        </w:tc>
        <w:tc>
          <w:tcPr>
            <w:tcW w:type="dxa" w:w="4320"/>
          </w:tcPr>
          <w:p>
            <w:r>
              <w:t>2 — Competitive Analyst / Encroachment &amp; reach-down risk ("SEVERE, already realized")</w:t>
            </w:r>
          </w:p>
        </w:tc>
      </w:tr>
      <w:tr>
        <w:tc>
          <w:tcPr>
            <w:tcW w:type="dxa" w:w="4320"/>
          </w:tcPr>
          <w:p>
            <w:r>
              <w:t>Hard-constraint #5 (funded strong-tech incumbents)</w:t>
            </w:r>
          </w:p>
        </w:tc>
        <w:tc>
          <w:tcPr>
            <w:tcW w:type="dxa" w:w="4320"/>
          </w:tcPr>
          <w:p>
            <w:r>
              <w:t>TRIGGERED → caps at Tier C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Must-have / forcing function (25)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Federally mandated (DFARS 7019/7020), recurring, budgeted; Nov 10 2026 catalyst; blank SPRS already costs POs.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FutureFeed cheaper below ($99 vs $200, 1,400+ clients); Vanta/Drata/Secureframe shipped CMMC above — failed hard-constraint #5.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Needs only ~0.8% penetration (ceiling fine), but PLG path to a low-ACV buyer vs. cheaper rivals is uncertain.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(12)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True monthly subscription + habit, but weak lock-in (exportable docs) and "we passed, cancel" churn risk.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of success (10)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Demand near-certain; this configuration succeeding is not (competition + unproven self-serve bet).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Pure software, five-figure build, no CUI hosting, cash-at-signup.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field ops; software-bound delivery; only seams are support load + content currency.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Marketing/software fit strong; missing CMMC credential is load-bearing here (rivals sell on it).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Build-once/sell-many, near-linear scaling, acquirable asset.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62.6/100</w:t>
            </w:r>
          </w:p>
        </w:tc>
        <w:tc>
          <w:tcPr>
            <w:tcW w:type="dxa" w:w="2160"/>
          </w:tcPr>
          <w:p>
            <w:r/>
          </w:p>
        </w:tc>
      </w:tr>
    </w:tbl>
    <w:p>
      <w:r/>
      <w:r>
        <w:rPr>
          <w:b/>
        </w:rPr>
        <w:t>Six expert averages (secondary):</w:t>
      </w:r>
      <w:r>
        <w:t xml:space="preserve"> CFO 8.3 | COO 8.0 | Legal 8.2 | CTO 7.4 | CMO 6.9 | Competitive 4.4</w:t>
      </w:r>
    </w:p>
    <w:p>
      <w:r>
        <w:t>*(3 GO / 3 REFINE — internal seats love the machine; market seats + CTO say the position is structurally weak. The competitive axis governs for a bootstrap-and-out-position thesis.)*</w:t>
      </w:r>
    </w:p>
    <w:p>
      <w:r/>
      <w:r>
        <w:rPr>
          <w:b/>
        </w:rPr>
        <w:t>What moves it up a tier (or what to reposition to):</w:t>
      </w:r>
      <w:r>
        <w:t xml:space="preserve"> This needs a </w:t>
      </w:r>
      <w:r>
        <w:rPr>
          <w:b/>
        </w:rPr>
        <w:t>reposition, not a tweak</w:t>
      </w:r>
      <w:r>
        <w:t xml:space="preserve"> — keep the A-grade forcing function and the small-sub customer; abandon the crowded self-serve-software lane. Best direction: the </w:t>
      </w:r>
      <w:r>
        <w:rPr>
          <w:b/>
        </w:rPr>
        <w:t>multi-prime flow-down / questionnaire-response wedge</w:t>
      </w:r>
      <w:r>
        <w:t xml:space="preserve"> the giants ignore (stickier, harder to copy than "score + SSP"); alternatives are a </w:t>
      </w:r>
      <w:r>
        <w:rPr>
          <w:b/>
        </w:rPr>
        <w:t>services-fronted readiness offer through the trusted MSP relationship</w:t>
      </w:r>
      <w:r>
        <w:t xml:space="preserve">, or </w:t>
      </w:r>
      <w:r>
        <w:rPr>
          <w:b/>
        </w:rPr>
        <w:t>arming MSPs</w:t>
      </w:r>
      <w:r>
        <w:t>. Validate with 15-20 buyer/channel calls + a free-tool-to-paid smoke test, then resubmit as a fresh clean-room candidate.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