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ONE-PAGE SCORECARD — CertCycle (CMMC Lifecycle Platform for Small Defense Shops)</w:t>
      </w:r>
    </w:p>
    <w:p>
      <w:r/>
      <w:r>
        <w:rPr>
          <w:b/>
        </w:rPr>
        <w:t>Tier: B (Promising — Deep-Dive)  |  Objectives Weighted Score: 80.7 / 100  |  Date: 2026-06-22</w:t>
      </w:r>
      <w:r/>
    </w:p>
    <w:p>
      <w:r/>
      <w:r>
        <w:rPr>
          <w:b/>
        </w:rPr>
        <w:t>Forcing-function type: Regulatory mandate (type 1) + Contractual flow-down (type 2)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Market pull / must-have (25)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Federal mandate + prime flow-down, dated Nov 10 2026, recurring 3-yr re-cert; lose certification = lose the contract.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Fragmented/beatable readiness layer, but FutureFeed already ships the "assessor handoff" wedge and Vanta/Drata can reach down in 4–8 quarters — copyable, not a moat.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~90 customers → ~$300K/founder by mo12; ~150 → ~$500K+ by mo24; pace decelerates.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strength (12)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Mandated annual affirmation + 3-yr re-cert; canceling re-exposes a contract-killing lapse — stickier than normal SaaS.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/ demand evidence (10)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~80K firms, hard deadline, ~0.5% certified, $75K–$150K already spent — rare concept-stage demand evidence.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Founder-built software, no inventory/license, annual prepay funds growth; CAC payback ~5 months.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Remote software; ~30 delivery-hrs/week at 160 customers; no field ops.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Marketing/positioning/software core; SOC 2/HIPAA/GDPR operator background bridges the expertise gap.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Margins improve with scale; high-retention compliance revenue is highly financeable/sellable.</w:t>
            </w:r>
          </w:p>
        </w:tc>
      </w:tr>
    </w:tbl>
    <w:p>
      <w:r/>
      <w:r>
        <w:rPr>
          <w:b/>
        </w:rPr>
        <w:t>Six expert averages (secondary, not the gate):</w:t>
      </w:r>
      <w:r>
        <w:t xml:space="preserve"> CFO 8.4 | CMO 7.7 | COO 7.5 | Legal 8.0 | CTO 8.0 | Competitive 7.1 (mean 7.78)</w:t>
      </w:r>
    </w:p>
    <w:p>
      <w:r/>
      <w:r>
        <w:rPr>
          <w:b/>
        </w:rPr>
        <w:t>Legal risk-gate rating:</w:t>
      </w:r>
      <w:r>
        <w:t xml:space="preserve"> SERIOUS BUT MANAGEABLE (due-diligence checklist; does not lower tier; no FATAL element)</w:t>
      </w:r>
    </w:p>
    <w:p>
      <w:r/>
      <w:r>
        <w:rPr>
          <w:b/>
        </w:rPr>
        <w:t>Lowest single sub-score anywhere:</w:t>
      </w:r>
      <w:r>
        <w:t xml:space="preserve"> 5 — tie: Competitive "encroachment/reach-down risk" (Vanta/Drata clock) and COO "vendor/partner dependency" (~100 C3PAOs, independence rule caps internalization)</w:t>
      </w:r>
    </w:p>
    <w:p>
      <w:r/>
      <w:r>
        <w:rPr>
          <w:b/>
        </w:rPr>
        <w:t>Red-team effect:</w:t>
      </w:r>
      <w:r>
        <w:t xml:space="preserve"> competition (dim 2) corrected 7 → 6 on the dedicated analyst's evidence (FutureFeed already runs the marketplace; durability copyable in 6–12 months); score moved 82.5 → 80.7; no dimension was deflated and corrected up.</w:t>
      </w:r>
    </w:p>
    <w:p>
      <w:r/>
      <w:r>
        <w:rPr>
          <w:b/>
        </w:rPr>
        <w:t>What moves it up a tier (B → A):</w:t>
      </w:r>
      <w:r>
        <w:t xml:space="preserve"> get competition (dim 2) to ≥ 7 — prove the delivery model is software not services (5-shop hand-run cohort), lock 2–3 capacity-committed differentiated auditor partners, and own the content/brand position on present-tense CMMC-assessment pain.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