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SECURECONTROLS — One-Page Scorecard</w:t>
      </w:r>
    </w:p>
    <w:p>
      <w:r/>
      <w:r>
        <w:rPr>
          <w:b/>
        </w:rPr>
        <w:t>Tier: A — Advisor-Ready</w:t>
      </w:r>
      <w:r>
        <w:t xml:space="preserve"> (bottom edge of A; one notch from B)</w:t>
      </w:r>
    </w:p>
    <w:p>
      <w:r/>
      <w:r>
        <w:rPr>
          <w:b/>
        </w:rPr>
        <w:t>Objectives Weighted Score: 82 / 100</w:t>
      </w:r>
      <w:r/>
    </w:p>
    <w:p>
      <w:r/>
      <w:r>
        <w:rPr>
          <w:b/>
        </w:rPr>
        <w:t>Legal Risk-Gate: SERIOUS-BUT-MANAGEABLE</w:t>
      </w:r>
      <w:r>
        <w:t xml:space="preserve"> (near the top of the band, much closer to MINOR than FATAL; does not down-tier)</w:t>
      </w:r>
    </w:p>
    <w:p>
      <w:r/>
      <w:r>
        <w:rPr>
          <w:b/>
        </w:rPr>
        <w:t>Date: 2026-06-16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Must-have / forcing function (25)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Federal mandate + prime flow-down freezes a supplier from purchase orders today; recurring forever; already budgeted; no demand education needed.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Market fragmented and sleepy overall, but the exact niche is "real but filling" (OSIbeyond, Summit 7); wedge is copyable in ~90 days — defensible, not clear air.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Clears ~$300K/founder yr1 and grows past it yr2; founders' $500K-at-55-accounts headline is upside (needs ~70); required rungs met.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(12)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True forever-subscription vs. a permanent obligation; high retention; lock-in moderate (firm deliberately doesn't hold CUI/environment).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/ demand evidence (10)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Demand near-certain on hard sources; execution (close cadence, DIB cold-start) unproven but cheaply testable.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Launches on $30–60K, advance-billed, self-funding from customer #1, cash-positive mo 9–12; artifact-only deletes GovCloud capex.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Fully remote knowledge work; no trucks/installs/field crews; onboarding-throughput throttle is a scheduling item, not structural.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Exact fit (SOC 2 operator + regulated closer); lone gap (no DIB track record) bridgeable via retained RP/CCP — hard-constraint #6 avoided.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Lean-profitable now or sellable later; recurring-ARR book is exactly what MSSP/PE acquirers pay multiples for.</w:t>
            </w:r>
          </w:p>
        </w:tc>
      </w:tr>
    </w:tbl>
    <w:p>
      <w:r/>
      <w:r>
        <w:rPr>
          <w:b/>
        </w:rPr>
        <w:t>Objectives Weighted Score = 82 / 100</w:t>
      </w:r>
      <w:r>
        <w:t xml:space="preserve">  (9×2.5 + 7×1.8 + 8×1.3 + 8×1.2 + 8×1.0 + 9×0.8 + 9×0.5 + 8×0.5 + 8×0.4)</w:t>
      </w:r>
    </w:p>
    <w:p>
      <w:r/>
      <w:r>
        <w:rPr>
          <w:b/>
        </w:rPr>
        <w:t>Six expert averages (secondary, not the gate):</w:t>
      </w:r>
      <w:r>
        <w:t xml:space="preserve"> CFO 8.3 · CMO 7.5 · COO 8.1 · Legal 8.1 · CTO 8.3 · Competitive 7.0</w:t>
      </w:r>
    </w:p>
    <w:p>
      <w:r/>
      <w:r>
        <w:rPr>
          <w:b/>
        </w:rPr>
        <w:t>Lowest single sub-score anywhere:</w:t>
      </w:r>
      <w:r>
        <w:t xml:space="preserve"> 5 — Competitive Analyst / "Differentiation durability" (the do-it-for-you, artifact-only wedge is a packaging choice copyable in ~90 days; several competitors are copying it now).</w:t>
      </w:r>
    </w:p>
    <w:p>
      <w:r/>
      <w:r>
        <w:rPr>
          <w:b/>
        </w:rPr>
        <w:t>What moves it up a tier (to a clean A):</w:t>
      </w:r>
      <w:r>
        <w:t xml:space="preserve"> Prove — via a one-quarter free-assessment funnel test — that the marketing engine converts and a founder can close ~2–4 accounts/month, while planting the "environment-agnostic / never-touch-CUI / fixed price" flag and signing 2–3 reference customers before the converging field closes the air. (Conversely, a slow close rate or a faster-filling niche would drop it to B.)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