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Muster — One-Page Scorecard</w:t>
      </w:r>
    </w:p>
    <w:p>
      <w:r/>
      <w:r>
        <w:rPr>
          <w:b/>
        </w:rPr>
        <w:t>Concept:</w:t>
      </w:r>
      <w:r>
        <w:t xml:space="preserve"> Managed, artifact-only NIST 800-171 / SPRS-and-CMMC readiness for small defense subcontractors</w:t>
      </w:r>
    </w:p>
    <w:p>
      <w:r/>
      <w:r>
        <w:rPr>
          <w:b/>
        </w:rPr>
        <w:t>Tier: B (Promising)  |  Objectives Weighted Score: 76 / 100  |  Date: 2026-06-21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Market pull / must-have (25)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Federal DFARS mandate live today + CMMC cliff Nov 2026; blank SPRS = lost POs now; recurring, budgeted, forced.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Competition &amp; defensibility (18)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Beatable sleepy tail + real "artifact-only" seam, BUT HIGH platform reach-down (Secureframe live Mar 2026) and 2 of 3 differentiators already commoditized.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Path to founder income (13)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Shown: ~30-46 customers to ~$300K/founder mo12; ~70-90 to ~$500K+ mo24; staffable by 2 founders + 1 analyst.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Recurring revenue (12)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True subscription on an indefinitely-renewed obligation; real switching costs from live SSP/POA&amp;M + questionnaire library.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Probability / demand evidence (10)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Named DoD figures (80-118K need L2), existing $15-50K/yr spend lines; haircut for crowded-field execution risk.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Capital efficiency (8)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Low five-figure launch; onboarding cash roughly self-funds delivery; negative working capital; no inventory/facility.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Operational tractability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Remote knowledge work, no field ops; only constraints are expert sign-off + evidence-chasing.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Skill / founder fit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Compliance operator + regulated-industry closer + can build software; credential gap bridgeable (fractional RP).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Scalability optionality (4)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Lifestyle or sellable; recurring compliance revenue is acquirable; margins improve with scale.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76/100</w:t>
            </w:r>
          </w:p>
        </w:tc>
        <w:tc>
          <w:tcPr>
            <w:tcW w:type="dxa" w:w="2160"/>
          </w:tcPr>
          <w:p>
            <w:r/>
          </w:p>
        </w:tc>
      </w:tr>
    </w:tbl>
    <w:p>
      <w:r/>
      <w:r>
        <w:rPr>
          <w:b/>
        </w:rPr>
        <w:t>Six expert averages (secondary):</w:t>
      </w:r>
      <w:r>
        <w:t xml:space="preserve"> CFO 8.4 | CMO 7.5 | COO 7.6 | Legal 8.1 | CTO 8.2 | Competitive 6.6</w:t>
      </w:r>
    </w:p>
    <w:p>
      <w:r/>
      <w:r>
        <w:rPr>
          <w:b/>
        </w:rPr>
        <w:t>Legal risk-gate rating:</w:t>
      </w:r>
      <w:r>
        <w:t xml:space="preserve"> SERIOUS-BUT-MANAGEABLE (FCA preparer shadow + E&amp;O; navigable, insurable — does NOT lower the tier)</w:t>
      </w:r>
    </w:p>
    <w:p>
      <w:r/>
      <w:r>
        <w:rPr>
          <w:b/>
        </w:rPr>
        <w:t>Lowest single sub-score anywhere:</w:t>
      </w:r>
      <w:r>
        <w:t xml:space="preserve"> 3 — Competitive Analyst, "Encroachment / reach-down risk" (Secureframe Defense live March 2026; Vanta $504M / Drata tooling shipped; managed/partner SKU 2-4 quarters away)</w:t>
      </w:r>
    </w:p>
    <w:p>
      <w:r/>
      <w:r>
        <w:rPr>
          <w:b/>
        </w:rPr>
        <w:t>What moves it up a tier (B → A):</w:t>
      </w:r>
      <w:r>
        <w:t xml:space="preserve"> A written government-contracts-counsel opinion confirming "artifact-only" keeps the company OUT of CMMC/ESP scope (a legal-structural moat, not cosmetic), AND ≥2 channel partners (APEX/MEP or prime programs) committed faster than the platforms verticalize. That plausibly lifts competition 6 → 7 and the score to ≈80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