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ONE-PAGE SCORECARD — Managed CMMC Compliance for Small Defense Shops</w:t>
      </w:r>
    </w:p>
    <w:p>
      <w:r/>
      <w:r>
        <w:rPr>
          <w:b/>
        </w:rPr>
        <w:t>Tier: B — Promising  |  Objectives Score: 76.4 / 100  |  Forcing function: Regulatory mandate (type 1)  |  Date: 2026-06-22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 (weight)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One-line reason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Must-have / forcing function (25)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Federal CMMC mandate, hard Nov-2026 deadline, contract-gating, recurring (3-yr recert + annual affirmation) — forced, budgeted, no internal selling.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Competition &amp; defensibility (18)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Fragmented services layer (good), but Workstreet on-thesis in-market, Summit 7 reaching down, discovery wedge commoditized (FutureFeed+Teramis, 2026-06-17); moat is brand/distribution, not structural.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Path to founder income (13)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Bottoms-up reaches the ladder ($3.5–4M run-rate by mo24), but mo-12 is a stretch and the whole path rides on the unproven clients-per-FTE margin.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Recurring revenue strength (12)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Retainer renews structurally (mandated affirmation + recert) with real switching cost (provider holds SSP/evidence/CUI map); attach rate to verify.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Probability / demand evidence (10)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Demand sourced and near-certain (~1.4% of 76,598 certified); success probability discounted for execution against a crowding field.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Capital efficiency (8)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Low-five-figure launch, cash collected before delivery cost, negative-WC-leaning; Vanta/Drata services-partner analog.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Operational tractability (5)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Remote-first, fixed 110-control standard, no field ops — held below 8 because outcome rides on assessors (6-mo backlog) and partners not controlled.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Skill / founder fit (5)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Software + marketing + SOC2/HIPAA operator experience; C3PAO correctly not pursued; two bridgeable gaps (credentialed lead, discovery ML).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Scalability optionality (4)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Lifestyle OR financeable/acquirable recurring book; multi-tenant SaaS scales without rewrite.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OBJECTIVES WEIGHTED SCORE</w:t>
            </w:r>
          </w:p>
        </w:tc>
        <w:tc>
          <w:tcPr>
            <w:tcW w:type="dxa" w:w="2160"/>
          </w:tcPr>
          <w:p>
            <w:r>
              <w:t>76.4</w:t>
            </w:r>
          </w:p>
        </w:tc>
        <w:tc>
          <w:tcPr>
            <w:tcW w:type="dxa" w:w="2160"/>
          </w:tcPr>
          <w:p>
            <w:r>
              <w:t>Σ(score×weight)÷10 = 764÷10.</w:t>
            </w:r>
          </w:p>
        </w:tc>
      </w:tr>
    </w:tbl>
    <w:p>
      <w:r/>
      <w:r>
        <w:rPr>
          <w:b/>
        </w:rPr>
        <w:t>Six expert averages (secondary):</w:t>
      </w:r>
      <w:r>
        <w:t xml:space="preserve"> CFO 8.0 · CMO 7.7 · COO 6.8 · Legal 7.4 · CTO 6.8 · Competitive 6.8 (mean ≈ 7.25).</w:t>
      </w:r>
    </w:p>
    <w:p>
      <w:r/>
      <w:r>
        <w:rPr>
          <w:b/>
        </w:rPr>
        <w:t>Legal risk-gate:</w:t>
      </w:r>
      <w:r>
        <w:t xml:space="preserve"> SERIOUS BUT MANAGEABLE — does NOT lower the tier (per 01); a due-diligence checklist (RPO not C3PAO, tech-E&amp;O, FCA-affirmation firewall, CUI/ITAR architecture, non-contingent assessor referral).</w:t>
      </w:r>
    </w:p>
    <w:p>
      <w:r/>
      <w:r>
        <w:rPr>
          <w:b/>
        </w:rPr>
        <w:t>Lowest single sub-score anywhere:</w:t>
      </w:r>
      <w:r>
        <w:t xml:space="preserve"> 4 — COO / Vendor-partner dependency risk (outcome promise on assessors + implementation partners the firm doesn't control).</w:t>
      </w:r>
    </w:p>
    <w:p>
      <w:r/>
      <w:r>
        <w:rPr>
          <w:b/>
        </w:rPr>
        <w:t>Red-team effect (one line):</w:t>
      </w:r>
      <w:r>
        <w:t xml:space="preserve"> 79.2 → 76.4 (−2.8); three evidenced down-moves (income, probability, ops); the competition dimension was scrutinized and held at 6 — NOT inflated to reach A, because the 2026 encroachment facts are sourced, not timidity.</w:t>
      </w:r>
    </w:p>
    <w:p>
      <w:r/>
      <w:r>
        <w:rPr>
          <w:b/>
        </w:rPr>
        <w:t>What moves it up a tier (to A):</w:t>
      </w:r>
      <w:r>
        <w:t xml:space="preserve"> (1) prove ~15+ clients-per-FTE on 3–5 real paid jobs (lifts income to 8 and confirms the margin); (2) carve and lock a sharp, defensible vertical + referral flywheel fast enough that competition honestly earns a 7. Both together would clear the 80 threshold and the competition 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