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SYNTHESIS &amp; TWO-DIRECTIONAL RED-TEAM — Managed CMMC Compliance for Small Defense Shops</w:t>
      </w:r>
    </w:p>
    <w:p>
      <w:r/>
      <w:r>
        <w:rPr>
          <w:b/>
        </w:rPr>
        <w:t>Date: 2026-06-22 | Objectives Weighted Score: 76.4/100 (pre-red-team 79.2) | Tier: B (Promising) | Legal gate: SERIOUS-BUT-MANAGEABLE | Recommendation: REFINE (lean-GO)</w:t>
      </w:r>
      <w:r/>
    </w:p>
    <w:p>
      <w:r>
        <w:t>________________________________________</w:t>
      </w:r>
    </w:p>
    <w:p>
      <w:pPr>
        <w:pStyle w:val="Heading2"/>
      </w:pPr>
      <w:r>
        <w:t>OBJECTIVES WEIGHTED SCORE</w:t>
      </w:r>
    </w:p>
    <w:p>
      <w:pPr>
        <w:pStyle w:val="Heading3"/>
      </w:pPr>
      <w:r>
        <w:t>Method</w:t>
      </w:r>
    </w:p>
    <w:p>
      <w:r>
        <w:t>The primary number is the Objectives Weighted Score (0–100) from 01-objectives.md: each of the nine rubric dimensions is scored 1–10 on absolute merit, multiplied by its weight, summed, and divided by 10 (weights sum to 100). The six expert reviews supply the evidence; their averages are secondary indicators, not the gate. Legal is a risk GATE, not a weighted drag. Every dimension was scored on absolute merit before computing the total, each 8+ grounded in the reviews' inline evidence, then the mandatory two-directional red-team was run. The table below shows the score AFTER the red-team; the pre-red-team figure (79.2) and the recompute are in the RED-TEAM section.</w:t>
      </w:r>
    </w:p>
    <w:p>
      <w:pPr>
        <w:pStyle w:val="Heading3"/>
      </w:pPr>
      <w:r>
        <w:t>Mapping: 60 expert sub-scores → 9 objectives dimensions (post-red-team)</w:t>
      </w:r>
    </w:p>
    <w:tbl>
      <w:tblPr>
        <w:tblStyle w:val="LightGrid-Accent1"/>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rPr>
              <w:t>#</w:t>
            </w:r>
          </w:p>
        </w:tc>
        <w:tc>
          <w:tcPr>
            <w:tcW w:type="dxa" w:w="1440"/>
          </w:tcPr>
          <w:p>
            <w:r>
              <w:rPr>
                <w:b/>
              </w:rPr>
              <w:t>Dimension</w:t>
            </w:r>
          </w:p>
        </w:tc>
        <w:tc>
          <w:tcPr>
            <w:tcW w:type="dxa" w:w="1440"/>
          </w:tcPr>
          <w:p>
            <w:r>
              <w:rPr>
                <w:b/>
              </w:rPr>
              <w:t>Wt</w:t>
            </w:r>
          </w:p>
        </w:tc>
        <w:tc>
          <w:tcPr>
            <w:tcW w:type="dxa" w:w="1440"/>
          </w:tcPr>
          <w:p>
            <w:r>
              <w:rPr>
                <w:b/>
              </w:rPr>
              <w:t>Score</w:t>
            </w:r>
          </w:p>
        </w:tc>
        <w:tc>
          <w:tcPr>
            <w:tcW w:type="dxa" w:w="1440"/>
          </w:tcPr>
          <w:p>
            <w:r>
              <w:rPr>
                <w:b/>
              </w:rPr>
              <w:t>Maps from (expert sub-scores)</w:t>
            </w:r>
          </w:p>
        </w:tc>
        <w:tc>
          <w:tcPr>
            <w:tcW w:type="dxa" w:w="1440"/>
          </w:tcPr>
          <w:p>
            <w:r>
              <w:rPr>
                <w:b/>
              </w:rPr>
              <w:t>One-line justification grounded in the reviews</w:t>
            </w:r>
          </w:p>
        </w:tc>
      </w:tr>
      <w:tr>
        <w:tc>
          <w:tcPr>
            <w:tcW w:type="dxa" w:w="1440"/>
          </w:tcPr>
          <w:p>
            <w:r>
              <w:t>1</w:t>
            </w:r>
          </w:p>
        </w:tc>
        <w:tc>
          <w:tcPr>
            <w:tcW w:type="dxa" w:w="1440"/>
          </w:tcPr>
          <w:p>
            <w:r>
              <w:t>Market pull / must-have (forcing function)</w:t>
            </w:r>
          </w:p>
        </w:tc>
        <w:tc>
          <w:tcPr>
            <w:tcW w:type="dxa" w:w="1440"/>
          </w:tcPr>
          <w:p>
            <w:r>
              <w:t>25</w:t>
            </w:r>
          </w:p>
        </w:tc>
        <w:tc>
          <w:tcPr>
            <w:tcW w:type="dxa" w:w="1440"/>
          </w:tcPr>
          <w:p>
            <w:r>
              <w:t>9</w:t>
            </w:r>
          </w:p>
        </w:tc>
        <w:tc>
          <w:tcPr>
            <w:tcW w:type="dxa" w:w="1440"/>
          </w:tcPr>
          <w:p>
            <w:r>
              <w:t>CMO demand-evidence 9; CFO obtainable-market 9; Competitive demand-&amp;-timing 9; Legal regulatory-trajectory 8</w:t>
            </w:r>
          </w:p>
        </w:tc>
        <w:tc>
          <w:tcPr>
            <w:tcW w:type="dxa" w:w="1440"/>
          </w:tcPr>
          <w:p>
            <w:r>
              <w:t>A federal mandate (type 1): CMMC L2 third-party cert phasing into contracts Nov 10 2026, recurring (3-yr recert + annual affirmation), contract-gating ("no cert, no award"), already budgeted — bought without internal selling; ~1.4% of ~76,598 firms certified. About as strong a forcing function as exists.</w:t>
            </w:r>
          </w:p>
        </w:tc>
      </w:tr>
      <w:tr>
        <w:tc>
          <w:tcPr>
            <w:tcW w:type="dxa" w:w="1440"/>
          </w:tcPr>
          <w:p>
            <w:r>
              <w:t>2</w:t>
            </w:r>
          </w:p>
        </w:tc>
        <w:tc>
          <w:tcPr>
            <w:tcW w:type="dxa" w:w="1440"/>
          </w:tcPr>
          <w:p>
            <w:r>
              <w:t>Competitive landscape &amp; defensibility</w:t>
            </w:r>
          </w:p>
        </w:tc>
        <w:tc>
          <w:tcPr>
            <w:tcW w:type="dxa" w:w="1440"/>
          </w:tcPr>
          <w:p>
            <w:r>
              <w:t>18</w:t>
            </w:r>
          </w:p>
        </w:tc>
        <w:tc>
          <w:tcPr>
            <w:tcW w:type="dxa" w:w="1440"/>
          </w:tcPr>
          <w:p>
            <w:r>
              <w:t>6</w:t>
            </w:r>
          </w:p>
        </w:tc>
        <w:tc>
          <w:tcPr>
            <w:tcW w:type="dxa" w:w="1440"/>
          </w:tcPr>
          <w:p>
            <w:r>
              <w:t>Competitive: beatability 6, fragmentation 8, air 6, durability 5, switching 7, encroachment 5, pricing 7, resilience 6; CMO differentiation 7 / air 7 / defensibility 6</w:t>
            </w:r>
          </w:p>
        </w:tc>
        <w:tc>
          <w:tcPr>
            <w:tcW w:type="dxa" w:w="1440"/>
          </w:tcPr>
          <w:p>
            <w:r>
              <w:t>Fragmented services layer (387 RPOs, no owner of the small-shop managed segment) is favorable, BUT the strongest incumbents are NOT sleepy: Workstreet on-thesis in-market ("only AI-powered RPO"), Summit 7 already shipped a small-business managed offering, FutureFeed embedded Teramis CUI discovery 2026-06-17 — the discovery wedge is being commoditized. Defensibility is brand/distribution (must be built), not structural.</w:t>
            </w:r>
          </w:p>
        </w:tc>
      </w:tr>
      <w:tr>
        <w:tc>
          <w:tcPr>
            <w:tcW w:type="dxa" w:w="1440"/>
          </w:tcPr>
          <w:p>
            <w:r>
              <w:t>3</w:t>
            </w:r>
          </w:p>
        </w:tc>
        <w:tc>
          <w:tcPr>
            <w:tcW w:type="dxa" w:w="1440"/>
          </w:tcPr>
          <w:p>
            <w:r>
              <w:t>Path to founder income (ladder)</w:t>
            </w:r>
          </w:p>
        </w:tc>
        <w:tc>
          <w:tcPr>
            <w:tcW w:type="dxa" w:w="1440"/>
          </w:tcPr>
          <w:p>
            <w:r>
              <w:t>13</w:t>
            </w:r>
          </w:p>
        </w:tc>
        <w:tc>
          <w:tcPr>
            <w:tcW w:type="dxa" w:w="1440"/>
          </w:tcPr>
          <w:p>
            <w:r>
              <w:t>7</w:t>
            </w:r>
          </w:p>
        </w:tc>
        <w:tc>
          <w:tcPr>
            <w:tcW w:type="dxa" w:w="1440"/>
          </w:tcPr>
          <w:p>
            <w:r>
              <w:t>CFO path-to-ladder 8; COO throughput-at-target 8</w:t>
            </w:r>
          </w:p>
        </w:tc>
        <w:tc>
          <w:tcPr>
            <w:tcW w:type="dxa" w:w="1440"/>
          </w:tcPr>
          <w:p>
            <w:r>
              <w:t>Bottoms-up math reaches the ladder (~25–35 first-year certs ≈ $1.1–1.6M; mo-24 base compounds to ~$3.5–4M run-rate on a 5-person team), but mo-12 is the CFO's own "stretch end" and every income figure is downstream of the unproven clients-per-FTE ratio (gross-margin held at 7). Real path, materially contingent.</w:t>
            </w:r>
          </w:p>
        </w:tc>
      </w:tr>
      <w:tr>
        <w:tc>
          <w:tcPr>
            <w:tcW w:type="dxa" w:w="1440"/>
          </w:tcPr>
          <w:p>
            <w:r>
              <w:t>4</w:t>
            </w:r>
          </w:p>
        </w:tc>
        <w:tc>
          <w:tcPr>
            <w:tcW w:type="dxa" w:w="1440"/>
          </w:tcPr>
          <w:p>
            <w:r>
              <w:t>Recurring revenue strength</w:t>
            </w:r>
          </w:p>
        </w:tc>
        <w:tc>
          <w:tcPr>
            <w:tcW w:type="dxa" w:w="1440"/>
          </w:tcPr>
          <w:p>
            <w:r>
              <w:t>12</w:t>
            </w:r>
          </w:p>
        </w:tc>
        <w:tc>
          <w:tcPr>
            <w:tcW w:type="dxa" w:w="1440"/>
          </w:tcPr>
          <w:p>
            <w:r>
              <w:t>8</w:t>
            </w:r>
          </w:p>
        </w:tc>
        <w:tc>
          <w:tcPr>
            <w:tcW w:type="dxa" w:w="1440"/>
          </w:tcPr>
          <w:p>
            <w:r>
              <w:t>CFO self-funding 8 / scaling-econ 7 / financeability 8; COO customer-ops 8; CMO brand-compounding 8</w:t>
            </w:r>
          </w:p>
        </w:tc>
        <w:tc>
          <w:tcPr>
            <w:tcW w:type="dxa" w:w="1440"/>
          </w:tcPr>
          <w:p>
            <w:r>
              <w:t>The continuity retainer ($18K–$60K/yr) renews structurally because the affirmation and recert are themselves mandated, and switching cost is real (provider holds the SSP, evidence, CUI map). Renewal is forced, not hoped-for — exactly what this dimension rewards; attach rate is the thing to verify.</w:t>
            </w:r>
          </w:p>
        </w:tc>
      </w:tr>
      <w:tr>
        <w:tc>
          <w:tcPr>
            <w:tcW w:type="dxa" w:w="1440"/>
          </w:tcPr>
          <w:p>
            <w:r>
              <w:t>5</w:t>
            </w:r>
          </w:p>
        </w:tc>
        <w:tc>
          <w:tcPr>
            <w:tcW w:type="dxa" w:w="1440"/>
          </w:tcPr>
          <w:p>
            <w:r>
              <w:t>Probability of success / demand evidence</w:t>
            </w:r>
          </w:p>
        </w:tc>
        <w:tc>
          <w:tcPr>
            <w:tcW w:type="dxa" w:w="1440"/>
          </w:tcPr>
          <w:p>
            <w:r>
              <w:t>10</w:t>
            </w:r>
          </w:p>
        </w:tc>
        <w:tc>
          <w:tcPr>
            <w:tcW w:type="dxa" w:w="1440"/>
          </w:tcPr>
          <w:p>
            <w:r>
              <w:t>7</w:t>
            </w:r>
          </w:p>
        </w:tc>
        <w:tc>
          <w:tcPr>
            <w:tcW w:type="dxa" w:w="1440"/>
          </w:tcPr>
          <w:p>
            <w:r>
              <w:t>CMO demand 9; CFO obtainable-market 9; Competitive demand-&amp;-timing 9 / evidence-quality 9</w:t>
            </w:r>
          </w:p>
        </w:tc>
        <w:tc>
          <w:tcPr>
            <w:tcW w:type="dxa" w:w="1440"/>
          </w:tcPr>
          <w:p>
            <w:r>
              <w:t>Demand itself is a sourced 9; but "probability of success" includes execution, and the concept must out-execute an already-in-market on-thesis competitor and a reaching-down premium brand while proving the AI-margin bet. Demand near-certain; success probability carries genuine execution risk.</w:t>
            </w:r>
          </w:p>
        </w:tc>
      </w:tr>
      <w:tr>
        <w:tc>
          <w:tcPr>
            <w:tcW w:type="dxa" w:w="1440"/>
          </w:tcPr>
          <w:p>
            <w:r>
              <w:t>6</w:t>
            </w:r>
          </w:p>
        </w:tc>
        <w:tc>
          <w:tcPr>
            <w:tcW w:type="dxa" w:w="1440"/>
          </w:tcPr>
          <w:p>
            <w:r>
              <w:t>Capital efficiency</w:t>
            </w:r>
          </w:p>
        </w:tc>
        <w:tc>
          <w:tcPr>
            <w:tcW w:type="dxa" w:w="1440"/>
          </w:tcPr>
          <w:p>
            <w:r>
              <w:t>8</w:t>
            </w:r>
          </w:p>
        </w:tc>
        <w:tc>
          <w:tcPr>
            <w:tcW w:type="dxa" w:w="1440"/>
          </w:tcPr>
          <w:p>
            <w:r>
              <w:t>9</w:t>
            </w:r>
          </w:p>
        </w:tc>
        <w:tc>
          <w:tcPr>
            <w:tcW w:type="dxa" w:w="1440"/>
          </w:tcPr>
          <w:p>
            <w:r>
              <w:t>CFO startup-capital 9, working-capital 9</w:t>
            </w:r>
          </w:p>
        </w:tc>
        <w:tc>
          <w:tcPr>
            <w:tcW w:type="dxa" w:w="1440"/>
          </w:tcPr>
          <w:p>
            <w:r>
              <w:t>Launchable on low five figures (founders code the spine; RPO registration is administrative; first credentialed hire deferred to first revenue); cash collected before/with delivery cost; negative-WC-leaning. Named analog: the Vanta/Drata services-partner model launches near-zero capital. The bootstrap ideal.</w:t>
            </w:r>
          </w:p>
        </w:tc>
      </w:tr>
      <w:tr>
        <w:tc>
          <w:tcPr>
            <w:tcW w:type="dxa" w:w="1440"/>
          </w:tcPr>
          <w:p>
            <w:r>
              <w:t>7</w:t>
            </w:r>
          </w:p>
        </w:tc>
        <w:tc>
          <w:tcPr>
            <w:tcW w:type="dxa" w:w="1440"/>
          </w:tcPr>
          <w:p>
            <w:r>
              <w:t>Operational tractability (not field-ops)</w:t>
            </w:r>
          </w:p>
        </w:tc>
        <w:tc>
          <w:tcPr>
            <w:tcW w:type="dxa" w:w="1440"/>
          </w:tcPr>
          <w:p>
            <w:r>
              <w:t>5</w:t>
            </w:r>
          </w:p>
        </w:tc>
        <w:tc>
          <w:tcPr>
            <w:tcW w:type="dxa" w:w="1440"/>
          </w:tcPr>
          <w:p>
            <w:r>
              <w:t>7</w:t>
            </w:r>
          </w:p>
        </w:tc>
        <w:tc>
          <w:tcPr>
            <w:tcW w:type="dxa" w:w="1440"/>
          </w:tcPr>
          <w:p>
            <w:r>
              <w:t>COO logistics 9, delivery-clarity 8, customer-ops 8, OFFSET by vendor-dependency 4, supply-chain 5; CTO time-to-MVP 8</w:t>
            </w:r>
          </w:p>
        </w:tc>
        <w:tc>
          <w:tcPr>
            <w:tcW w:type="dxa" w:w="1440"/>
          </w:tcPr>
          <w:p>
            <w:r>
              <w:t>Remote-first, document-mediated delivery against a fixed 110-control standard — no trucks, no field ops, near-ideal logistics. Held below 8 because the "you will pass" outcome rides on assessors (6-month backlog) and implementation partners the firm does not control — the COO's biggest single risk lives here.</w:t>
            </w:r>
          </w:p>
        </w:tc>
      </w:tr>
      <w:tr>
        <w:tc>
          <w:tcPr>
            <w:tcW w:type="dxa" w:w="1440"/>
          </w:tcPr>
          <w:p>
            <w:r>
              <w:t>8</w:t>
            </w:r>
          </w:p>
        </w:tc>
        <w:tc>
          <w:tcPr>
            <w:tcW w:type="dxa" w:w="1440"/>
          </w:tcPr>
          <w:p>
            <w:r>
              <w:t>Skill / founder fit (versatility)</w:t>
            </w:r>
          </w:p>
        </w:tc>
        <w:tc>
          <w:tcPr>
            <w:tcW w:type="dxa" w:w="1440"/>
          </w:tcPr>
          <w:p>
            <w:r>
              <w:t>5</w:t>
            </w:r>
          </w:p>
        </w:tc>
        <w:tc>
          <w:tcPr>
            <w:tcW w:type="dxa" w:w="1440"/>
          </w:tcPr>
          <w:p>
            <w:r>
              <w:t>7</w:t>
            </w:r>
          </w:p>
        </w:tc>
        <w:tc>
          <w:tcPr>
            <w:tcW w:type="dxa" w:w="1440"/>
          </w:tcPr>
          <w:p>
            <w:r>
              <w:t>CTO feasibility 7 / build-vs-buy 8 / founder-fit note; Legal licensing 9; COO hiring 6</w:t>
            </w:r>
          </w:p>
        </w:tc>
        <w:tc>
          <w:tcPr>
            <w:tcW w:type="dxa" w:w="1440"/>
          </w:tcPr>
          <w:p>
            <w:r>
              <w:t>Squarely in the founders' lane: they build the SaaS spine + AI doc pipeline, market and close via partners, and bring direct SOC 2/HIPAA/GDPR operator experience; the one credential they lack (C3PAO) they correctly chose not to need. Two real-but-bridgeable gaps: the scarce credentialed delivery lead and the CUI-discovery ML (partner/buy).</w:t>
            </w:r>
          </w:p>
        </w:tc>
      </w:tr>
      <w:tr>
        <w:tc>
          <w:tcPr>
            <w:tcW w:type="dxa" w:w="1440"/>
          </w:tcPr>
          <w:p>
            <w:r>
              <w:t>9</w:t>
            </w:r>
          </w:p>
        </w:tc>
        <w:tc>
          <w:tcPr>
            <w:tcW w:type="dxa" w:w="1440"/>
          </w:tcPr>
          <w:p>
            <w:r>
              <w:t>Scalability optionality</w:t>
            </w:r>
          </w:p>
        </w:tc>
        <w:tc>
          <w:tcPr>
            <w:tcW w:type="dxa" w:w="1440"/>
          </w:tcPr>
          <w:p>
            <w:r>
              <w:t>4</w:t>
            </w:r>
          </w:p>
        </w:tc>
        <w:tc>
          <w:tcPr>
            <w:tcW w:type="dxa" w:w="1440"/>
          </w:tcPr>
          <w:p>
            <w:r>
              <w:t>8</w:t>
            </w:r>
          </w:p>
        </w:tc>
        <w:tc>
          <w:tcPr>
            <w:tcW w:type="dxa" w:w="1440"/>
          </w:tcPr>
          <w:p>
            <w:r>
              <w:t>CFO scaling-econ 7 / financeability-exit 8; CTO scaling-headroom 8; COO customer-ops 8</w:t>
            </w:r>
          </w:p>
        </w:tc>
        <w:tc>
          <w:tcPr>
            <w:tcW w:type="dxa" w:w="1440"/>
          </w:tcPr>
          <w:p>
            <w:r>
              <w:t>Can stay a lean lifestyle business OR scale into a financeable, acquirable recurring book (managed-compliance/MSSP books roll up at healthy recurring multiples); multi-tenant SaaS scales to low-thousands without rewrite. Real optionality both ways.</w:t>
            </w:r>
          </w:p>
        </w:tc>
      </w:tr>
    </w:tbl>
    <w:p>
      <w:pPr>
        <w:pStyle w:val="Heading3"/>
      </w:pPr>
      <w:r>
        <w:t>Arithmetic (post-red-team) and sum verification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w:t>
            </w:r>
          </w:p>
        </w:tc>
        <w:tc>
          <w:tcPr>
            <w:tcW w:type="dxa" w:w="1728"/>
          </w:tcPr>
          <w:p>
            <w:r>
              <w:rPr>
                <w:b/>
              </w:rPr>
              <w:t>Dimension</w:t>
            </w:r>
          </w:p>
        </w:tc>
        <w:tc>
          <w:tcPr>
            <w:tcW w:type="dxa" w:w="1728"/>
          </w:tcPr>
          <w:p>
            <w:r>
              <w:rPr>
                <w:b/>
              </w:rPr>
              <w:t>Weight</w:t>
            </w:r>
          </w:p>
        </w:tc>
        <w:tc>
          <w:tcPr>
            <w:tcW w:type="dxa" w:w="1728"/>
          </w:tcPr>
          <w:p>
            <w:r>
              <w:rPr>
                <w:b/>
              </w:rPr>
              <w:t>Score</w:t>
            </w:r>
          </w:p>
        </w:tc>
        <w:tc>
          <w:tcPr>
            <w:tcW w:type="dxa" w:w="1728"/>
          </w:tcPr>
          <w:p>
            <w:r>
              <w:rPr>
                <w:b/>
              </w:rPr>
              <w:t>Weight × Score</w:t>
            </w:r>
          </w:p>
        </w:tc>
      </w:tr>
      <w:tr>
        <w:tc>
          <w:tcPr>
            <w:tcW w:type="dxa" w:w="1728"/>
          </w:tcPr>
          <w:p>
            <w:r>
              <w:t>1</w:t>
            </w:r>
          </w:p>
        </w:tc>
        <w:tc>
          <w:tcPr>
            <w:tcW w:type="dxa" w:w="1728"/>
          </w:tcPr>
          <w:p>
            <w:r>
              <w:t>Must-have / forcing function</w:t>
            </w:r>
          </w:p>
        </w:tc>
        <w:tc>
          <w:tcPr>
            <w:tcW w:type="dxa" w:w="1728"/>
          </w:tcPr>
          <w:p>
            <w:r>
              <w:t>25</w:t>
            </w:r>
          </w:p>
        </w:tc>
        <w:tc>
          <w:tcPr>
            <w:tcW w:type="dxa" w:w="1728"/>
          </w:tcPr>
          <w:p>
            <w:r>
              <w:t>9</w:t>
            </w:r>
          </w:p>
        </w:tc>
        <w:tc>
          <w:tcPr>
            <w:tcW w:type="dxa" w:w="1728"/>
          </w:tcPr>
          <w:p>
            <w:r>
              <w:t>225</w:t>
            </w:r>
          </w:p>
        </w:tc>
      </w:tr>
      <w:tr>
        <w:tc>
          <w:tcPr>
            <w:tcW w:type="dxa" w:w="1728"/>
          </w:tcPr>
          <w:p>
            <w:r>
              <w:t>2</w:t>
            </w:r>
          </w:p>
        </w:tc>
        <w:tc>
          <w:tcPr>
            <w:tcW w:type="dxa" w:w="1728"/>
          </w:tcPr>
          <w:p>
            <w:r>
              <w:t>Competition &amp; defensibility</w:t>
            </w:r>
          </w:p>
        </w:tc>
        <w:tc>
          <w:tcPr>
            <w:tcW w:type="dxa" w:w="1728"/>
          </w:tcPr>
          <w:p>
            <w:r>
              <w:t>18</w:t>
            </w:r>
          </w:p>
        </w:tc>
        <w:tc>
          <w:tcPr>
            <w:tcW w:type="dxa" w:w="1728"/>
          </w:tcPr>
          <w:p>
            <w:r>
              <w:t>6</w:t>
            </w:r>
          </w:p>
        </w:tc>
        <w:tc>
          <w:tcPr>
            <w:tcW w:type="dxa" w:w="1728"/>
          </w:tcPr>
          <w:p>
            <w:r>
              <w:t>108</w:t>
            </w:r>
          </w:p>
        </w:tc>
      </w:tr>
      <w:tr>
        <w:tc>
          <w:tcPr>
            <w:tcW w:type="dxa" w:w="1728"/>
          </w:tcPr>
          <w:p>
            <w:r>
              <w:t>3</w:t>
            </w:r>
          </w:p>
        </w:tc>
        <w:tc>
          <w:tcPr>
            <w:tcW w:type="dxa" w:w="1728"/>
          </w:tcPr>
          <w:p>
            <w:r>
              <w:t>Path to founder income</w:t>
            </w:r>
          </w:p>
        </w:tc>
        <w:tc>
          <w:tcPr>
            <w:tcW w:type="dxa" w:w="1728"/>
          </w:tcPr>
          <w:p>
            <w:r>
              <w:t>13</w:t>
            </w:r>
          </w:p>
        </w:tc>
        <w:tc>
          <w:tcPr>
            <w:tcW w:type="dxa" w:w="1728"/>
          </w:tcPr>
          <w:p>
            <w:r>
              <w:t>7</w:t>
            </w:r>
          </w:p>
        </w:tc>
        <w:tc>
          <w:tcPr>
            <w:tcW w:type="dxa" w:w="1728"/>
          </w:tcPr>
          <w:p>
            <w:r>
              <w:t>91</w:t>
            </w:r>
          </w:p>
        </w:tc>
      </w:tr>
      <w:tr>
        <w:tc>
          <w:tcPr>
            <w:tcW w:type="dxa" w:w="1728"/>
          </w:tcPr>
          <w:p>
            <w:r>
              <w:t>4</w:t>
            </w:r>
          </w:p>
        </w:tc>
        <w:tc>
          <w:tcPr>
            <w:tcW w:type="dxa" w:w="1728"/>
          </w:tcPr>
          <w:p>
            <w:r>
              <w:t>Recurring revenue strength</w:t>
            </w:r>
          </w:p>
        </w:tc>
        <w:tc>
          <w:tcPr>
            <w:tcW w:type="dxa" w:w="1728"/>
          </w:tcPr>
          <w:p>
            <w:r>
              <w:t>12</w:t>
            </w:r>
          </w:p>
        </w:tc>
        <w:tc>
          <w:tcPr>
            <w:tcW w:type="dxa" w:w="1728"/>
          </w:tcPr>
          <w:p>
            <w:r>
              <w:t>8</w:t>
            </w:r>
          </w:p>
        </w:tc>
        <w:tc>
          <w:tcPr>
            <w:tcW w:type="dxa" w:w="1728"/>
          </w:tcPr>
          <w:p>
            <w:r>
              <w:t>96</w:t>
            </w:r>
          </w:p>
        </w:tc>
      </w:tr>
      <w:tr>
        <w:tc>
          <w:tcPr>
            <w:tcW w:type="dxa" w:w="1728"/>
          </w:tcPr>
          <w:p>
            <w:r>
              <w:t>5</w:t>
            </w:r>
          </w:p>
        </w:tc>
        <w:tc>
          <w:tcPr>
            <w:tcW w:type="dxa" w:w="1728"/>
          </w:tcPr>
          <w:p>
            <w:r>
              <w:t>Probability / demand evidence</w:t>
            </w:r>
          </w:p>
        </w:tc>
        <w:tc>
          <w:tcPr>
            <w:tcW w:type="dxa" w:w="1728"/>
          </w:tcPr>
          <w:p>
            <w:r>
              <w:t>10</w:t>
            </w:r>
          </w:p>
        </w:tc>
        <w:tc>
          <w:tcPr>
            <w:tcW w:type="dxa" w:w="1728"/>
          </w:tcPr>
          <w:p>
            <w:r>
              <w:t>7</w:t>
            </w:r>
          </w:p>
        </w:tc>
        <w:tc>
          <w:tcPr>
            <w:tcW w:type="dxa" w:w="1728"/>
          </w:tcPr>
          <w:p>
            <w:r>
              <w:t>70</w:t>
            </w:r>
          </w:p>
        </w:tc>
      </w:tr>
      <w:tr>
        <w:tc>
          <w:tcPr>
            <w:tcW w:type="dxa" w:w="1728"/>
          </w:tcPr>
          <w:p>
            <w:r>
              <w:t>6</w:t>
            </w:r>
          </w:p>
        </w:tc>
        <w:tc>
          <w:tcPr>
            <w:tcW w:type="dxa" w:w="1728"/>
          </w:tcPr>
          <w:p>
            <w:r>
              <w:t>Capital efficiency</w:t>
            </w:r>
          </w:p>
        </w:tc>
        <w:tc>
          <w:tcPr>
            <w:tcW w:type="dxa" w:w="1728"/>
          </w:tcPr>
          <w:p>
            <w:r>
              <w:t>8</w:t>
            </w:r>
          </w:p>
        </w:tc>
        <w:tc>
          <w:tcPr>
            <w:tcW w:type="dxa" w:w="1728"/>
          </w:tcPr>
          <w:p>
            <w:r>
              <w:t>9</w:t>
            </w:r>
          </w:p>
        </w:tc>
        <w:tc>
          <w:tcPr>
            <w:tcW w:type="dxa" w:w="1728"/>
          </w:tcPr>
          <w:p>
            <w:r>
              <w:t>72</w:t>
            </w:r>
          </w:p>
        </w:tc>
      </w:tr>
      <w:tr>
        <w:tc>
          <w:tcPr>
            <w:tcW w:type="dxa" w:w="1728"/>
          </w:tcPr>
          <w:p>
            <w:r>
              <w:t>7</w:t>
            </w:r>
          </w:p>
        </w:tc>
        <w:tc>
          <w:tcPr>
            <w:tcW w:type="dxa" w:w="1728"/>
          </w:tcPr>
          <w:p>
            <w:r>
              <w:t>Operational tractability</w:t>
            </w:r>
          </w:p>
        </w:tc>
        <w:tc>
          <w:tcPr>
            <w:tcW w:type="dxa" w:w="1728"/>
          </w:tcPr>
          <w:p>
            <w:r>
              <w:t>5</w:t>
            </w:r>
          </w:p>
        </w:tc>
        <w:tc>
          <w:tcPr>
            <w:tcW w:type="dxa" w:w="1728"/>
          </w:tcPr>
          <w:p>
            <w:r>
              <w:t>7</w:t>
            </w:r>
          </w:p>
        </w:tc>
        <w:tc>
          <w:tcPr>
            <w:tcW w:type="dxa" w:w="1728"/>
          </w:tcPr>
          <w:p>
            <w:r>
              <w:t>35</w:t>
            </w:r>
          </w:p>
        </w:tc>
      </w:tr>
      <w:tr>
        <w:tc>
          <w:tcPr>
            <w:tcW w:type="dxa" w:w="1728"/>
          </w:tcPr>
          <w:p>
            <w:r>
              <w:t>8</w:t>
            </w:r>
          </w:p>
        </w:tc>
        <w:tc>
          <w:tcPr>
            <w:tcW w:type="dxa" w:w="1728"/>
          </w:tcPr>
          <w:p>
            <w:r>
              <w:t>Skill / founder fit</w:t>
            </w:r>
          </w:p>
        </w:tc>
        <w:tc>
          <w:tcPr>
            <w:tcW w:type="dxa" w:w="1728"/>
          </w:tcPr>
          <w:p>
            <w:r>
              <w:t>5</w:t>
            </w:r>
          </w:p>
        </w:tc>
        <w:tc>
          <w:tcPr>
            <w:tcW w:type="dxa" w:w="1728"/>
          </w:tcPr>
          <w:p>
            <w:r>
              <w:t>7</w:t>
            </w:r>
          </w:p>
        </w:tc>
        <w:tc>
          <w:tcPr>
            <w:tcW w:type="dxa" w:w="1728"/>
          </w:tcPr>
          <w:p>
            <w:r>
              <w:t>35</w:t>
            </w:r>
          </w:p>
        </w:tc>
      </w:tr>
      <w:tr>
        <w:tc>
          <w:tcPr>
            <w:tcW w:type="dxa" w:w="1728"/>
          </w:tcPr>
          <w:p>
            <w:r>
              <w:t>9</w:t>
            </w:r>
          </w:p>
        </w:tc>
        <w:tc>
          <w:tcPr>
            <w:tcW w:type="dxa" w:w="1728"/>
          </w:tcPr>
          <w:p>
            <w:r>
              <w:t>Scalability optionality</w:t>
            </w:r>
          </w:p>
        </w:tc>
        <w:tc>
          <w:tcPr>
            <w:tcW w:type="dxa" w:w="1728"/>
          </w:tcPr>
          <w:p>
            <w:r>
              <w:t>4</w:t>
            </w:r>
          </w:p>
        </w:tc>
        <w:tc>
          <w:tcPr>
            <w:tcW w:type="dxa" w:w="1728"/>
          </w:tcPr>
          <w:p>
            <w:r>
              <w:t>8</w:t>
            </w:r>
          </w:p>
        </w:tc>
        <w:tc>
          <w:tcPr>
            <w:tcW w:type="dxa" w:w="1728"/>
          </w:tcPr>
          <w:p>
            <w:r>
              <w:t>32</w:t>
            </w:r>
          </w:p>
        </w:tc>
      </w:tr>
      <w:tr>
        <w:tc>
          <w:tcPr>
            <w:tcW w:type="dxa" w:w="1728"/>
          </w:tcPr>
          <w:p>
            <w:r/>
          </w:p>
        </w:tc>
        <w:tc>
          <w:tcPr>
            <w:tcW w:type="dxa" w:w="1728"/>
          </w:tcPr>
          <w:p>
            <w:r>
              <w:t>Total</w:t>
            </w:r>
          </w:p>
        </w:tc>
        <w:tc>
          <w:tcPr>
            <w:tcW w:type="dxa" w:w="1728"/>
          </w:tcPr>
          <w:p>
            <w:r>
              <w:t>100</w:t>
            </w:r>
          </w:p>
        </w:tc>
        <w:tc>
          <w:tcPr>
            <w:tcW w:type="dxa" w:w="1728"/>
          </w:tcPr>
          <w:p>
            <w:r/>
          </w:p>
        </w:tc>
        <w:tc>
          <w:tcPr>
            <w:tcW w:type="dxa" w:w="1728"/>
          </w:tcPr>
          <w:p>
            <w:r>
              <w:t>764</w:t>
            </w:r>
          </w:p>
        </w:tc>
      </w:tr>
    </w:tbl>
    <w:p>
      <w:r>
        <w:t xml:space="preserve">Weights sum check: 25+18+13+12+10+8+5+5+4 = </w:t>
      </w:r>
      <w:r>
        <w:rPr>
          <w:b/>
        </w:rPr>
        <w:t>100</w:t>
      </w:r>
      <w:r>
        <w:t xml:space="preserve"> ✓</w:t>
      </w:r>
    </w:p>
    <w:p>
      <w:r>
        <w:t xml:space="preserve">Weighted points sum: 225+108+91+96+70+72+35+35+32 = </w:t>
      </w:r>
      <w:r>
        <w:rPr>
          <w:b/>
        </w:rPr>
        <w:t>764</w:t>
      </w:r>
      <w:r>
        <w:t xml:space="preserve"> ✓</w:t>
      </w:r>
    </w:p>
    <w:p>
      <w:r/>
      <w:r>
        <w:rPr>
          <w:b/>
        </w:rPr>
        <w:t>OBJECTIVES WEIGHTED SCORE = 764 ÷ 10 = 76.4 / 100</w:t>
      </w:r>
      <w:r>
        <w:t xml:space="preserve"> (post-red-team). Pre-red-team it was 79.2.</w:t>
      </w:r>
    </w:p>
    <w:p>
      <w:pPr>
        <w:pStyle w:val="Heading3"/>
      </w:pPr>
      <w:r>
        <w:t>Lowest single sub-score anywhere</w:t>
      </w:r>
    </w:p>
    <w:p>
      <w:r/>
      <w:r>
        <w:rPr>
          <w:b/>
        </w:rPr>
        <w:t>4 — COO / Vendor-partner dependency risk.</w:t>
      </w:r>
      <w:r>
        <w:t xml:space="preserve"> The "you will pass" promise depends on independent assessors the firm cannot employ (it is an RPO, not a C3PAO) and on implementation partners executing the riskiest technical work on the client's network and schedule. (Next lowest: a cluster of 5s — COO supply-chain resilience, CTO technical-assumption risk, Competitive differentiation-durability, Competitive encroachment.)</w:t>
      </w:r>
    </w:p>
    <w:p>
      <w:pPr>
        <w:pStyle w:val="Heading3"/>
      </w:pPr>
      <w:r>
        <w:t>Legal risk-gate rating</w:t>
      </w:r>
    </w:p>
    <w:p>
      <w:r/>
      <w:r>
        <w:rPr>
          <w:b/>
        </w:rPr>
        <w:t>SERIOUS BUT MANAGEABLE.</w:t>
      </w:r>
      <w:r>
        <w:t xml:space="preserve"> Per 01-objectives.md this rating is a due-diligence checklist and does NOT lower the tier. The regime is explicitly published (32 CFR Part 170, DFARS 7021, NIST 800-171's 110 controls), the founders made the one architectural decision that matters (RPO/prep, not C3PAO/assess), no occupational/state license is required, there is no 50-state multiplication, and every residual exposure (tech-E&amp;O for the outcome guarantee, FCA-affirmation firewall, CUI/ITAR architecture, non-contingent assessor referral) is insurable and contractable with named instruments. Nothing is unbridgeable, uninsurable, or prohibited — FATAL does not apply.</w:t>
      </w:r>
    </w:p>
    <w:p>
      <w:pPr>
        <w:pStyle w:val="Heading3"/>
      </w:pPr>
      <w:r>
        <w:t>Six expert averages (secondary, for transparency, NOT the gate)</w:t>
      </w:r>
    </w:p>
    <w:p>
      <w:pPr>
        <w:pStyle w:val="ListBullet"/>
      </w:pPr>
      <w:r>
        <w:t xml:space="preserve">CFO: </w:t>
      </w:r>
      <w:r>
        <w:rPr>
          <w:b/>
        </w:rPr>
        <w:t>8.0</w:t>
      </w:r>
      <w:r>
        <w:t xml:space="preserve"> / 10 (GO)</w:t>
      </w:r>
    </w:p>
    <w:p>
      <w:pPr>
        <w:pStyle w:val="ListBullet"/>
      </w:pPr>
      <w:r>
        <w:t xml:space="preserve">CMO: </w:t>
      </w:r>
      <w:r>
        <w:rPr>
          <w:b/>
        </w:rPr>
        <w:t>7.7</w:t>
      </w:r>
      <w:r>
        <w:t xml:space="preserve"> / 10 (GO)</w:t>
      </w:r>
    </w:p>
    <w:p>
      <w:pPr>
        <w:pStyle w:val="ListBullet"/>
      </w:pPr>
      <w:r>
        <w:t xml:space="preserve">COO: </w:t>
      </w:r>
      <w:r>
        <w:rPr>
          <w:b/>
        </w:rPr>
        <w:t>6.8</w:t>
      </w:r>
      <w:r>
        <w:t xml:space="preserve"> / 10 (GO-qualified)</w:t>
      </w:r>
    </w:p>
    <w:p>
      <w:pPr>
        <w:pStyle w:val="ListBullet"/>
      </w:pPr>
      <w:r>
        <w:t xml:space="preserve">Legal: </w:t>
      </w:r>
      <w:r>
        <w:rPr>
          <w:b/>
        </w:rPr>
        <w:t>7.4</w:t>
      </w:r>
      <w:r>
        <w:t xml:space="preserve"> / 10 (GO; risk-gate SERIOUS-BUT-MANAGEABLE)</w:t>
      </w:r>
    </w:p>
    <w:p>
      <w:pPr>
        <w:pStyle w:val="ListBullet"/>
      </w:pPr>
      <w:r>
        <w:t xml:space="preserve">CTO: </w:t>
      </w:r>
      <w:r>
        <w:rPr>
          <w:b/>
        </w:rPr>
        <w:t>6.8</w:t>
      </w:r>
      <w:r>
        <w:t xml:space="preserve"> / 10 (GO with de-risking spike)</w:t>
      </w:r>
    </w:p>
    <w:p>
      <w:pPr>
        <w:pStyle w:val="ListBullet"/>
      </w:pPr>
      <w:r>
        <w:t xml:space="preserve">Competitive: </w:t>
      </w:r>
      <w:r>
        <w:rPr>
          <w:b/>
        </w:rPr>
        <w:t>6.8</w:t>
      </w:r>
      <w:r>
        <w:t xml:space="preserve"> / 10 (REFINE, lean-GO)</w:t>
      </w:r>
    </w:p>
    <w:p>
      <w:r>
        <w:t>Mean of the six expert averages ≈ 7.25/10 — directionally consistent with a high-B Objectives score, and the spread (CFO/CMO high, COO/CTO/Competitive at 6.8) is itself the signal: the money and the market are excellent, the execution/competition realities pull it back.</w:t>
      </w:r>
    </w:p>
    <w:p>
      <w:r>
        <w:t>________________________________________</w:t>
      </w:r>
    </w:p>
    <w:p>
      <w:pPr>
        <w:pStyle w:val="Heading2"/>
      </w:pPr>
      <w:r>
        <w:t>PROVISIONAL TIER vs. the 01 A-tier named gates</w:t>
      </w:r>
    </w:p>
    <w:p>
      <w:r>
        <w:t>A-tier (Advisor-Ready) requires ALL of: Objectives ≥ 80, must-have (dim 1) ≥ 8, competition (dim 2) ≥ 7, no FATAL legal gate, demand backed by named comparables/market signals. Tested on the post-red-team numbers: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A-gate</w:t>
            </w:r>
          </w:p>
        </w:tc>
        <w:tc>
          <w:tcPr>
            <w:tcW w:type="dxa" w:w="2160"/>
          </w:tcPr>
          <w:p>
            <w:r>
              <w:rPr>
                <w:b/>
              </w:rPr>
              <w:t>Requirement</w:t>
            </w:r>
          </w:p>
        </w:tc>
        <w:tc>
          <w:tcPr>
            <w:tcW w:type="dxa" w:w="2160"/>
          </w:tcPr>
          <w:p>
            <w:r>
              <w:rPr>
                <w:b/>
              </w:rPr>
              <w:t>This concept</w:t>
            </w:r>
          </w:p>
        </w:tc>
        <w:tc>
          <w:tcPr>
            <w:tcW w:type="dxa" w:w="2160"/>
          </w:tcPr>
          <w:p>
            <w:r>
              <w:rPr>
                <w:b/>
              </w:rPr>
              <w:t>Pass/Fail</w:t>
            </w:r>
          </w:p>
        </w:tc>
      </w:tr>
      <w:tr>
        <w:tc>
          <w:tcPr>
            <w:tcW w:type="dxa" w:w="2160"/>
          </w:tcPr>
          <w:p>
            <w:r>
              <w:t>Objectives Weighted Score</w:t>
            </w:r>
          </w:p>
        </w:tc>
        <w:tc>
          <w:tcPr>
            <w:tcW w:type="dxa" w:w="2160"/>
          </w:tcPr>
          <w:p>
            <w:r>
              <w:t>≥ 80</w:t>
            </w:r>
          </w:p>
        </w:tc>
        <w:tc>
          <w:tcPr>
            <w:tcW w:type="dxa" w:w="2160"/>
          </w:tcPr>
          <w:p>
            <w:r>
              <w:t>76.4</w:t>
            </w:r>
          </w:p>
        </w:tc>
        <w:tc>
          <w:tcPr>
            <w:tcW w:type="dxa" w:w="2160"/>
          </w:tcPr>
          <w:p>
            <w:r>
              <w:t>FAIL (also fails at the pre-red-team 79.2)</w:t>
            </w:r>
          </w:p>
        </w:tc>
      </w:tr>
      <w:tr>
        <w:tc>
          <w:tcPr>
            <w:tcW w:type="dxa" w:w="2160"/>
          </w:tcPr>
          <w:p>
            <w:r>
              <w:t>Must-have (dim 1)</w:t>
            </w:r>
          </w:p>
        </w:tc>
        <w:tc>
          <w:tcPr>
            <w:tcW w:type="dxa" w:w="2160"/>
          </w:tcPr>
          <w:p>
            <w:r>
              <w:t>≥ 8</w:t>
            </w:r>
          </w:p>
        </w:tc>
        <w:tc>
          <w:tcPr>
            <w:tcW w:type="dxa" w:w="2160"/>
          </w:tcPr>
          <w:p>
            <w:r>
              <w:t>9</w:t>
            </w:r>
          </w:p>
        </w:tc>
        <w:tc>
          <w:tcPr>
            <w:tcW w:type="dxa" w:w="2160"/>
          </w:tcPr>
          <w:p>
            <w:r>
              <w:t>PASS</w:t>
            </w:r>
          </w:p>
        </w:tc>
      </w:tr>
      <w:tr>
        <w:tc>
          <w:tcPr>
            <w:tcW w:type="dxa" w:w="2160"/>
          </w:tcPr>
          <w:p>
            <w:r>
              <w:t>Competition (dim 2)</w:t>
            </w:r>
          </w:p>
        </w:tc>
        <w:tc>
          <w:tcPr>
            <w:tcW w:type="dxa" w:w="2160"/>
          </w:tcPr>
          <w:p>
            <w:r>
              <w:t>≥ 7</w:t>
            </w:r>
          </w:p>
        </w:tc>
        <w:tc>
          <w:tcPr>
            <w:tcW w:type="dxa" w:w="2160"/>
          </w:tcPr>
          <w:p>
            <w:r>
              <w:t>6</w:t>
            </w:r>
          </w:p>
        </w:tc>
        <w:tc>
          <w:tcPr>
            <w:tcW w:type="dxa" w:w="2160"/>
          </w:tcPr>
          <w:p>
            <w:r>
              <w:t>FAIL</w:t>
            </w:r>
          </w:p>
        </w:tc>
      </w:tr>
      <w:tr>
        <w:tc>
          <w:tcPr>
            <w:tcW w:type="dxa" w:w="2160"/>
          </w:tcPr>
          <w:p>
            <w:r>
              <w:t>Legal risk gate</w:t>
            </w:r>
          </w:p>
        </w:tc>
        <w:tc>
          <w:tcPr>
            <w:tcW w:type="dxa" w:w="2160"/>
          </w:tcPr>
          <w:p>
            <w:r>
              <w:t>not FATAL</w:t>
            </w:r>
          </w:p>
        </w:tc>
        <w:tc>
          <w:tcPr>
            <w:tcW w:type="dxa" w:w="2160"/>
          </w:tcPr>
          <w:p>
            <w:r>
              <w:t>SERIOUS-BUT-MANAGEABLE</w:t>
            </w:r>
          </w:p>
        </w:tc>
        <w:tc>
          <w:tcPr>
            <w:tcW w:type="dxa" w:w="2160"/>
          </w:tcPr>
          <w:p>
            <w:r>
              <w:t>PASS</w:t>
            </w:r>
          </w:p>
        </w:tc>
      </w:tr>
      <w:tr>
        <w:tc>
          <w:tcPr>
            <w:tcW w:type="dxa" w:w="2160"/>
          </w:tcPr>
          <w:p>
            <w:r>
              <w:t>Demand backed by named comparables</w:t>
            </w:r>
          </w:p>
        </w:tc>
        <w:tc>
          <w:tcPr>
            <w:tcW w:type="dxa" w:w="2160"/>
          </w:tcPr>
          <w:p>
            <w:r>
              <w:t>yes</w:t>
            </w:r>
          </w:p>
        </w:tc>
        <w:tc>
          <w:tcPr>
            <w:tcW w:type="dxa" w:w="2160"/>
          </w:tcPr>
          <w:p>
            <w:r>
              <w:t>Overwhelming (DoD ~76,598 firms; Summit 7, BEMO, PreVeil price anchors; sourced ~1.4% penetration)</w:t>
            </w:r>
          </w:p>
        </w:tc>
        <w:tc>
          <w:tcPr>
            <w:tcW w:type="dxa" w:w="2160"/>
          </w:tcPr>
          <w:p>
            <w:r>
              <w:t>PASS</w:t>
            </w:r>
          </w:p>
        </w:tc>
      </w:tr>
    </w:tbl>
    <w:p>
      <w:r/>
      <w:r>
        <w:rPr>
          <w:b/>
        </w:rPr>
        <w:t>PROVISIONAL TIER: B — Promising (Deep-Dive).</w:t>
      </w:r>
      <w:r>
        <w:t xml:space="preserve"> It clears three of five A-gates decisively but fails two: the 80 Objectives threshold and the competition ≥7 bar. Under 01, B is Objectives 68–79 (this concept), or ≥80 with one serious open risk. At 76.4 with two failed A-gates, this is a clear B — not a borderline A held back by a single technicality. It sits in the body of B, not on the A/B line. The red-team below confirms this, it does not change it.</w:t>
      </w:r>
    </w:p>
    <w:p>
      <w:r>
        <w:t>________________________________________</w:t>
      </w:r>
    </w:p>
    <w:p>
      <w:pPr>
        <w:pStyle w:val="Heading2"/>
      </w:pPr>
      <w:r>
        <w:t>MANDATORY TWO-DIRECTIONAL RED-TEAM</w:t>
      </w:r>
    </w:p>
    <w:p>
      <w:r>
        <w:t>Per doc-07 and CLAUDE.md: distrust unanimity (all six experts said GO/lean-GO — a yellow flag), take the highest sub-scores and argue each is one point too high, lower any that don't survive on the reviews' own evidence, AND symmetrically correct up any dimension an expert clearly deflated out of timidity. The goal is the accurate number in both directions, not a lower one and not a tier.</w:t>
      </w:r>
    </w:p>
    <w:p>
      <w:pPr>
        <w:pStyle w:val="Heading3"/>
      </w:pPr>
      <w:r>
        <w:t>Pre-red-team baseline</w:t>
      </w:r>
    </w:p>
    <w:p>
      <w:r>
        <w:t>Starting dimension scores: Dim1 9, Dim2 6, Dim3 8, Dim4 8, Dim5 8, Dim6 9, Dim7 8, Dim8 7, Dim9 8.</w:t>
      </w:r>
    </w:p>
    <w:p>
      <w:r>
        <w:t xml:space="preserve">Arithmetic: 225 + 108 + 104 + 96 + 80 + 72 + 40 + 35 + 32 = </w:t>
      </w:r>
      <w:r>
        <w:rPr>
          <w:b/>
        </w:rPr>
        <w:t>792 → 79.2/100.</w:t>
      </w:r>
      <w:r>
        <w:t xml:space="preserve"> (Note: even before any red-team, this is a high B, not an A — it never cleared 80.)</w:t>
      </w:r>
    </w:p>
    <w:p>
      <w:pPr>
        <w:pStyle w:val="Heading3"/>
      </w:pPr>
      <w:r>
        <w:t>Direction DOWN — highest sub-scores, argue each one point too high</w:t>
      </w:r>
    </w:p>
    <w:p>
      <w:r/>
      <w:r>
        <w:rPr>
          <w:b/>
        </w:rPr>
        <w:t>Test 1 — Dim 1 (must-have) = 9. Argue for 8.</w:t>
      </w:r>
      <w:r>
        <w:t xml:space="preserve"> Three independent reviewers landed demand at 9, each with sourced numbers. The deduction argument is real: the entire demand curve rides on one federal program's enforcement cadence (a rollout delay or a softening back toward self-attestation flattens it). VERDICT: HOLD at 9. Policy-concentration is a probability/risk fact, already carried in dim 5 and the risk register; it does not weaken the forcing function itself, which when it bites is forced, recurring, contract-gating, and budgeted. The 9 survives on the reviews' own evidence.</w:t>
      </w:r>
    </w:p>
    <w:p>
      <w:r/>
      <w:r>
        <w:rPr>
          <w:b/>
        </w:rPr>
        <w:t>Test 2 — Dim 6 (capital) = 9. Argue for 8.</w:t>
      </w:r>
      <w:r>
        <w:t xml:space="preserve"> CFO scored startup-capital and working-capital both 9 with a named analog. The deduction argument: the firm must hire a scarce ~$120K–$180K credentialed delivery lead slightly ahead of the ramp. VERDICT: HOLD at 9. The hire is COGS funded by customer cash collected upfront; there is no pre-revenue burn, no inventory, no AR float. Genuinely a 9. Survives.</w:t>
      </w:r>
    </w:p>
    <w:p>
      <w:r/>
      <w:r>
        <w:rPr>
          <w:b/>
        </w:rPr>
        <w:t>Test 3 — Dim 3 (income) = 8. Argue for 7.</w:t>
      </w:r>
      <w:r>
        <w:t xml:space="preserve"> CFO path-to-ladder 8 and COO throughput 8, both bottoms-up. The deduction argument is strong and self-supplied: the CFO calls mo-12 "the stretch end" requiring ~2–3 new shops/month from a standing start, and EVERY income figure is downstream of the clients-per-FTE ratio the CFO held gross-margin to 7 over. An 8 implies a clean path; the path is real but doubly contingent. VERDICT: </w:t>
      </w:r>
      <w:r>
        <w:rPr>
          <w:b/>
        </w:rPr>
        <w:t>LOWER to 7.</w:t>
      </w:r>
      <w:r>
        <w:t xml:space="preserve"> The deduction lands on the reviews' own evidence.</w:t>
      </w:r>
    </w:p>
    <w:p>
      <w:r/>
      <w:r>
        <w:rPr>
          <w:b/>
        </w:rPr>
        <w:t>Test 4 — Dim 4 (recurring) = 8. Argue for 7.</w:t>
      </w:r>
      <w:r>
        <w:t xml:space="preserve"> The deduction argument: attach rate and retention are entirely [ASSUMED] — no cohort exists. VERDICT: HOLD at 8. Doc-00 forbids deducting for the absence of live traction at concept stage, and the renewal here is structurally forced (the affirmation and recert are mandated, not discretionary), with real switching cost. Forced renewal is exactly what dim 4 rewards. Survives — but it is the high end of the band, and attach is the thing to verify.</w:t>
      </w:r>
    </w:p>
    <w:p>
      <w:r/>
      <w:r>
        <w:rPr>
          <w:b/>
        </w:rPr>
        <w:t>Test 5 — Dim 5 (probability/demand) = 8. Argue for 7.</w:t>
      </w:r>
      <w:r>
        <w:t xml:space="preserve"> The deduction argument: "probability of success" is demand AND execution. The demand is a sourced 9, but the Competitive Analyst's REFINE makes plain that success requires out-executing an already-in-market on-thesis competitor (Workstreet) and a reaching-down Summit 7 while proving the AI-margin bet. An 8 over-weights the demand 9s. VERDICT: </w:t>
      </w:r>
      <w:r>
        <w:rPr>
          <w:b/>
        </w:rPr>
        <w:t>LOWER to 7.</w:t>
      </w:r>
      <w:r>
        <w:t xml:space="preserve"> The deduction lands.</w:t>
      </w:r>
    </w:p>
    <w:p>
      <w:r/>
      <w:r>
        <w:rPr>
          <w:b/>
        </w:rPr>
        <w:t>Test 6 — Dim 7 (ops) = 8. Argue for 7.</w:t>
      </w:r>
      <w:r>
        <w:t xml:space="preserve"> Logistics 9 and delivery-clarity 8 are well-earned. The deduction argument: the COO's own vendor/partner dependency 4 and supply-chain 5 live in this dimension, and the COO's single biggest risk is "an absolute outcome promise on borrowed hands." An 8 under-weights that. VERDICT: </w:t>
      </w:r>
      <w:r>
        <w:rPr>
          <w:b/>
        </w:rPr>
        <w:t>LOWER to 7.</w:t>
      </w:r>
      <w:r>
        <w:t xml:space="preserve"> The deduction lands.</w:t>
      </w:r>
    </w:p>
    <w:p>
      <w:r>
        <w:t>DOWN result: three of six tested highs move down one point (Dim 3, 5, 7); three hold on evidence (Dim 1, 4, 6). Honest, not reflexive — half the contested highs survived.</w:t>
      </w:r>
    </w:p>
    <w:p>
      <w:pPr>
        <w:pStyle w:val="Heading3"/>
      </w:pPr>
      <w:r>
        <w:t>Direction UP — dimensions deflated by timidity</w:t>
      </w:r>
    </w:p>
    <w:p>
      <w:r/>
      <w:r>
        <w:rPr>
          <w:b/>
        </w:rPr>
        <w:t>Up-test A — Dim 2 (competition) = 6. Was it deflated?</w:t>
      </w:r>
      <w:r>
        <w:t xml:space="preserve"> This is the dimension I was specifically asked to scrutinize. The case FOR raising it to 7 (and clearing the A-gate): the analyst independently scores fragmentation 8, switching 7, pricing power 7, demand/timing 9; the CMO independently put competitive air at 7; the analyst rates encroachment "MEDIUM-HIGH... not the worst case — no single funded horizontal platform swallows the niche in two quarters, and the human-managed-outcome layer is real shelter." VERDICT: </w:t>
      </w:r>
      <w:r>
        <w:rPr>
          <w:b/>
        </w:rPr>
        <w:t>HOLD at 6 — decline to inflate.</w:t>
      </w:r>
      <w:r>
        <w:t xml:space="preserve"> The analyst's load-bearing findings are sourced, contemporaneous 2026 facts, not timidity: Workstreet is on-thesis in-market word-for-word, Summit 7 already shipped small-business managed, and FutureFeed embedded Teramis discovery on 2026-06-17 — the headline "discovery competitors can't match" wedge is being commoditized in real time, and the differentiation-durability 5 is correctly low because the entire delivery stack is rentable. Raising this to 7 would be reaching for an A-tier the evidence does not support — exactly the inflation this framework kills. A hard, honest 6 is the single most important reason this concept is a B and not an A. (Legitimate internal straddle noted: switching/stickiness genuinely earns 7 and fragmentation an 8, which is why the dimension lands at 6 and not 5 — but the weighted center, dragged by durability-5 and encroachment-5, is a 6.)</w:t>
      </w:r>
    </w:p>
    <w:p>
      <w:r/>
      <w:r>
        <w:rPr>
          <w:b/>
        </w:rPr>
        <w:t>Up-test B — Dim 8 (skill/fit) = 7. Was it deflated?</w:t>
      </w:r>
      <w:r>
        <w:t xml:space="preserve"> The case for 8: Legal licensing 9, CTO build-vs-buy 8, direct SOC 2/HIPAA/GDPR operator experience that maps onto supervising the AI layer, and the credential they "lack" is one they correctly chose not to need. VERDICT: HOLD at 7 (strong 7). Two named real gaps keep it honest: the scarce CMMC-credentialed delivery lead (COO hiring 6, a tight labor pool) and the CUI-discovery ML component (CTO would partner/buy). Bridgeable, yes; trivial, no.</w:t>
      </w:r>
    </w:p>
    <w:p>
      <w:r/>
      <w:r>
        <w:rPr>
          <w:b/>
        </w:rPr>
        <w:t>Up-test C — Dim 9 (scale) = 8 and Dim 1 = 9. Deflated?</w:t>
      </w:r>
      <w:r>
        <w:t xml:space="preserve"> Dim 9 is already at 8 on four converging sub-scores — correct, not low. Dim 1 at 9: no reviewer reached 10 and policy-concentration is real, so 9 is the ceiling the evidence supports. Neither is deflated.</w:t>
      </w:r>
    </w:p>
    <w:p>
      <w:r>
        <w:t>UP result: no dimension was clearly suppressed by timidity in a way that survives scrutiny. The competition dimension — the one most tempting to nudge up to clear the A-gate — lands honestly at 6 on sourced encroachment evidence.</w:t>
      </w:r>
    </w:p>
    <w:p>
      <w:pPr>
        <w:pStyle w:val="Heading3"/>
      </w:pPr>
      <w:r>
        <w:t>A note on unanimity (doc-07 requirement)</w:t>
      </w:r>
    </w:p>
    <w:p>
      <w:r>
        <w:t>All six experts returned GO or lean-GO — a yellow flag under doc-07. Here the unanimity is honest but uneven: it reflects a genuinely exceptional demand-and-capital core (CFO 8.0, CMO 7.7) that no reviewer could deny, paired with three reviewers (COO, CTO, Competitive, all 6.8) flagging the same two execution realities — the clients-per-FTE margin bet and the crowding competition. Not groupthink papering over a flaw; three "yes, but" votes next to two "yes." The red-team's job was to make sure the "but" was priced in, and it now is: the down-moves on income, probability, and ops encode exactly those realities.</w:t>
      </w:r>
    </w:p>
    <w:p>
      <w:pPr>
        <w:pStyle w:val="Heading3"/>
      </w:pPr>
      <w:r>
        <w:t>Post-red-team recompute</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w:t>
            </w:r>
          </w:p>
        </w:tc>
        <w:tc>
          <w:tcPr>
            <w:tcW w:type="dxa" w:w="1234"/>
          </w:tcPr>
          <w:p>
            <w:r>
              <w:rPr>
                <w:b/>
              </w:rPr>
              <w:t>Dimension</w:t>
            </w:r>
          </w:p>
        </w:tc>
        <w:tc>
          <w:tcPr>
            <w:tcW w:type="dxa" w:w="1234"/>
          </w:tcPr>
          <w:p>
            <w:r>
              <w:rPr>
                <w:b/>
              </w:rPr>
              <w:t>Weight</w:t>
            </w:r>
          </w:p>
        </w:tc>
        <w:tc>
          <w:tcPr>
            <w:tcW w:type="dxa" w:w="1234"/>
          </w:tcPr>
          <w:p>
            <w:r>
              <w:rPr>
                <w:b/>
              </w:rPr>
              <w:t>Pre</w:t>
            </w:r>
          </w:p>
        </w:tc>
        <w:tc>
          <w:tcPr>
            <w:tcW w:type="dxa" w:w="1234"/>
          </w:tcPr>
          <w:p>
            <w:r>
              <w:rPr>
                <w:b/>
              </w:rPr>
              <w:t>Post</w:t>
            </w:r>
          </w:p>
        </w:tc>
        <w:tc>
          <w:tcPr>
            <w:tcW w:type="dxa" w:w="1234"/>
          </w:tcPr>
          <w:p>
            <w:r>
              <w:rPr>
                <w:b/>
              </w:rPr>
              <w:t>Δ</w:t>
            </w:r>
          </w:p>
        </w:tc>
        <w:tc>
          <w:tcPr>
            <w:tcW w:type="dxa" w:w="1234"/>
          </w:tcPr>
          <w:p>
            <w:r>
              <w:rPr>
                <w:b/>
              </w:rPr>
              <w:t>Weight × Post</w:t>
            </w:r>
          </w:p>
        </w:tc>
      </w:tr>
      <w:tr>
        <w:tc>
          <w:tcPr>
            <w:tcW w:type="dxa" w:w="1234"/>
          </w:tcPr>
          <w:p>
            <w:r>
              <w:t>1</w:t>
            </w:r>
          </w:p>
        </w:tc>
        <w:tc>
          <w:tcPr>
            <w:tcW w:type="dxa" w:w="1234"/>
          </w:tcPr>
          <w:p>
            <w:r>
              <w:t>Must-have / forcing function</w:t>
            </w:r>
          </w:p>
        </w:tc>
        <w:tc>
          <w:tcPr>
            <w:tcW w:type="dxa" w:w="1234"/>
          </w:tcPr>
          <w:p>
            <w:r>
              <w:t>25</w:t>
            </w:r>
          </w:p>
        </w:tc>
        <w:tc>
          <w:tcPr>
            <w:tcW w:type="dxa" w:w="1234"/>
          </w:tcPr>
          <w:p>
            <w:r>
              <w:t>9</w:t>
            </w:r>
          </w:p>
        </w:tc>
        <w:tc>
          <w:tcPr>
            <w:tcW w:type="dxa" w:w="1234"/>
          </w:tcPr>
          <w:p>
            <w:r>
              <w:t>9</w:t>
            </w:r>
          </w:p>
        </w:tc>
        <w:tc>
          <w:tcPr>
            <w:tcW w:type="dxa" w:w="1234"/>
          </w:tcPr>
          <w:p>
            <w:r>
              <w:t>—</w:t>
            </w:r>
          </w:p>
        </w:tc>
        <w:tc>
          <w:tcPr>
            <w:tcW w:type="dxa" w:w="1234"/>
          </w:tcPr>
          <w:p>
            <w:r>
              <w:t>225</w:t>
            </w:r>
          </w:p>
        </w:tc>
      </w:tr>
      <w:tr>
        <w:tc>
          <w:tcPr>
            <w:tcW w:type="dxa" w:w="1234"/>
          </w:tcPr>
          <w:p>
            <w:r>
              <w:t>2</w:t>
            </w:r>
          </w:p>
        </w:tc>
        <w:tc>
          <w:tcPr>
            <w:tcW w:type="dxa" w:w="1234"/>
          </w:tcPr>
          <w:p>
            <w:r>
              <w:t>Competition &amp; defensibility</w:t>
            </w:r>
          </w:p>
        </w:tc>
        <w:tc>
          <w:tcPr>
            <w:tcW w:type="dxa" w:w="1234"/>
          </w:tcPr>
          <w:p>
            <w:r>
              <w:t>18</w:t>
            </w:r>
          </w:p>
        </w:tc>
        <w:tc>
          <w:tcPr>
            <w:tcW w:type="dxa" w:w="1234"/>
          </w:tcPr>
          <w:p>
            <w:r>
              <w:t>6</w:t>
            </w:r>
          </w:p>
        </w:tc>
        <w:tc>
          <w:tcPr>
            <w:tcW w:type="dxa" w:w="1234"/>
          </w:tcPr>
          <w:p>
            <w:r>
              <w:t>6</w:t>
            </w:r>
          </w:p>
        </w:tc>
        <w:tc>
          <w:tcPr>
            <w:tcW w:type="dxa" w:w="1234"/>
          </w:tcPr>
          <w:p>
            <w:r>
              <w:t>—</w:t>
            </w:r>
          </w:p>
        </w:tc>
        <w:tc>
          <w:tcPr>
            <w:tcW w:type="dxa" w:w="1234"/>
          </w:tcPr>
          <w:p>
            <w:r>
              <w:t>108</w:t>
            </w:r>
          </w:p>
        </w:tc>
      </w:tr>
      <w:tr>
        <w:tc>
          <w:tcPr>
            <w:tcW w:type="dxa" w:w="1234"/>
          </w:tcPr>
          <w:p>
            <w:r>
              <w:t>3</w:t>
            </w:r>
          </w:p>
        </w:tc>
        <w:tc>
          <w:tcPr>
            <w:tcW w:type="dxa" w:w="1234"/>
          </w:tcPr>
          <w:p>
            <w:r>
              <w:t>Path to founder income</w:t>
            </w:r>
          </w:p>
        </w:tc>
        <w:tc>
          <w:tcPr>
            <w:tcW w:type="dxa" w:w="1234"/>
          </w:tcPr>
          <w:p>
            <w:r>
              <w:t>13</w:t>
            </w:r>
          </w:p>
        </w:tc>
        <w:tc>
          <w:tcPr>
            <w:tcW w:type="dxa" w:w="1234"/>
          </w:tcPr>
          <w:p>
            <w:r>
              <w:t>8</w:t>
            </w:r>
          </w:p>
        </w:tc>
        <w:tc>
          <w:tcPr>
            <w:tcW w:type="dxa" w:w="1234"/>
          </w:tcPr>
          <w:p>
            <w:r>
              <w:t>7</w:t>
            </w:r>
          </w:p>
        </w:tc>
        <w:tc>
          <w:tcPr>
            <w:tcW w:type="dxa" w:w="1234"/>
          </w:tcPr>
          <w:p>
            <w:r>
              <w:t>−1</w:t>
            </w:r>
          </w:p>
        </w:tc>
        <w:tc>
          <w:tcPr>
            <w:tcW w:type="dxa" w:w="1234"/>
          </w:tcPr>
          <w:p>
            <w:r>
              <w:t>91</w:t>
            </w:r>
          </w:p>
        </w:tc>
      </w:tr>
      <w:tr>
        <w:tc>
          <w:tcPr>
            <w:tcW w:type="dxa" w:w="1234"/>
          </w:tcPr>
          <w:p>
            <w:r>
              <w:t>4</w:t>
            </w:r>
          </w:p>
        </w:tc>
        <w:tc>
          <w:tcPr>
            <w:tcW w:type="dxa" w:w="1234"/>
          </w:tcPr>
          <w:p>
            <w:r>
              <w:t>Recurring revenue strength</w:t>
            </w:r>
          </w:p>
        </w:tc>
        <w:tc>
          <w:tcPr>
            <w:tcW w:type="dxa" w:w="1234"/>
          </w:tcPr>
          <w:p>
            <w:r>
              <w:t>12</w:t>
            </w:r>
          </w:p>
        </w:tc>
        <w:tc>
          <w:tcPr>
            <w:tcW w:type="dxa" w:w="1234"/>
          </w:tcPr>
          <w:p>
            <w:r>
              <w:t>8</w:t>
            </w:r>
          </w:p>
        </w:tc>
        <w:tc>
          <w:tcPr>
            <w:tcW w:type="dxa" w:w="1234"/>
          </w:tcPr>
          <w:p>
            <w:r>
              <w:t>8</w:t>
            </w:r>
          </w:p>
        </w:tc>
        <w:tc>
          <w:tcPr>
            <w:tcW w:type="dxa" w:w="1234"/>
          </w:tcPr>
          <w:p>
            <w:r>
              <w:t>—</w:t>
            </w:r>
          </w:p>
        </w:tc>
        <w:tc>
          <w:tcPr>
            <w:tcW w:type="dxa" w:w="1234"/>
          </w:tcPr>
          <w:p>
            <w:r>
              <w:t>96</w:t>
            </w:r>
          </w:p>
        </w:tc>
      </w:tr>
      <w:tr>
        <w:tc>
          <w:tcPr>
            <w:tcW w:type="dxa" w:w="1234"/>
          </w:tcPr>
          <w:p>
            <w:r>
              <w:t>5</w:t>
            </w:r>
          </w:p>
        </w:tc>
        <w:tc>
          <w:tcPr>
            <w:tcW w:type="dxa" w:w="1234"/>
          </w:tcPr>
          <w:p>
            <w:r>
              <w:t>Probability / demand evidence</w:t>
            </w:r>
          </w:p>
        </w:tc>
        <w:tc>
          <w:tcPr>
            <w:tcW w:type="dxa" w:w="1234"/>
          </w:tcPr>
          <w:p>
            <w:r>
              <w:t>10</w:t>
            </w:r>
          </w:p>
        </w:tc>
        <w:tc>
          <w:tcPr>
            <w:tcW w:type="dxa" w:w="1234"/>
          </w:tcPr>
          <w:p>
            <w:r>
              <w:t>8</w:t>
            </w:r>
          </w:p>
        </w:tc>
        <w:tc>
          <w:tcPr>
            <w:tcW w:type="dxa" w:w="1234"/>
          </w:tcPr>
          <w:p>
            <w:r>
              <w:t>7</w:t>
            </w:r>
          </w:p>
        </w:tc>
        <w:tc>
          <w:tcPr>
            <w:tcW w:type="dxa" w:w="1234"/>
          </w:tcPr>
          <w:p>
            <w:r>
              <w:t>−1</w:t>
            </w:r>
          </w:p>
        </w:tc>
        <w:tc>
          <w:tcPr>
            <w:tcW w:type="dxa" w:w="1234"/>
          </w:tcPr>
          <w:p>
            <w:r>
              <w:t>70</w:t>
            </w:r>
          </w:p>
        </w:tc>
      </w:tr>
      <w:tr>
        <w:tc>
          <w:tcPr>
            <w:tcW w:type="dxa" w:w="1234"/>
          </w:tcPr>
          <w:p>
            <w:r>
              <w:t>6</w:t>
            </w:r>
          </w:p>
        </w:tc>
        <w:tc>
          <w:tcPr>
            <w:tcW w:type="dxa" w:w="1234"/>
          </w:tcPr>
          <w:p>
            <w:r>
              <w:t>Capital efficiency</w:t>
            </w:r>
          </w:p>
        </w:tc>
        <w:tc>
          <w:tcPr>
            <w:tcW w:type="dxa" w:w="1234"/>
          </w:tcPr>
          <w:p>
            <w:r>
              <w:t>8</w:t>
            </w:r>
          </w:p>
        </w:tc>
        <w:tc>
          <w:tcPr>
            <w:tcW w:type="dxa" w:w="1234"/>
          </w:tcPr>
          <w:p>
            <w:r>
              <w:t>9</w:t>
            </w:r>
          </w:p>
        </w:tc>
        <w:tc>
          <w:tcPr>
            <w:tcW w:type="dxa" w:w="1234"/>
          </w:tcPr>
          <w:p>
            <w:r>
              <w:t>9</w:t>
            </w:r>
          </w:p>
        </w:tc>
        <w:tc>
          <w:tcPr>
            <w:tcW w:type="dxa" w:w="1234"/>
          </w:tcPr>
          <w:p>
            <w:r>
              <w:t>—</w:t>
            </w:r>
          </w:p>
        </w:tc>
        <w:tc>
          <w:tcPr>
            <w:tcW w:type="dxa" w:w="1234"/>
          </w:tcPr>
          <w:p>
            <w:r>
              <w:t>72</w:t>
            </w:r>
          </w:p>
        </w:tc>
      </w:tr>
      <w:tr>
        <w:tc>
          <w:tcPr>
            <w:tcW w:type="dxa" w:w="1234"/>
          </w:tcPr>
          <w:p>
            <w:r>
              <w:t>7</w:t>
            </w:r>
          </w:p>
        </w:tc>
        <w:tc>
          <w:tcPr>
            <w:tcW w:type="dxa" w:w="1234"/>
          </w:tcPr>
          <w:p>
            <w:r>
              <w:t>Operational tractability</w:t>
            </w:r>
          </w:p>
        </w:tc>
        <w:tc>
          <w:tcPr>
            <w:tcW w:type="dxa" w:w="1234"/>
          </w:tcPr>
          <w:p>
            <w:r>
              <w:t>5</w:t>
            </w:r>
          </w:p>
        </w:tc>
        <w:tc>
          <w:tcPr>
            <w:tcW w:type="dxa" w:w="1234"/>
          </w:tcPr>
          <w:p>
            <w:r>
              <w:t>8</w:t>
            </w:r>
          </w:p>
        </w:tc>
        <w:tc>
          <w:tcPr>
            <w:tcW w:type="dxa" w:w="1234"/>
          </w:tcPr>
          <w:p>
            <w:r>
              <w:t>7</w:t>
            </w:r>
          </w:p>
        </w:tc>
        <w:tc>
          <w:tcPr>
            <w:tcW w:type="dxa" w:w="1234"/>
          </w:tcPr>
          <w:p>
            <w:r>
              <w:t>−1</w:t>
            </w:r>
          </w:p>
        </w:tc>
        <w:tc>
          <w:tcPr>
            <w:tcW w:type="dxa" w:w="1234"/>
          </w:tcPr>
          <w:p>
            <w:r>
              <w:t>35</w:t>
            </w:r>
          </w:p>
        </w:tc>
      </w:tr>
      <w:tr>
        <w:tc>
          <w:tcPr>
            <w:tcW w:type="dxa" w:w="1234"/>
          </w:tcPr>
          <w:p>
            <w:r>
              <w:t>8</w:t>
            </w:r>
          </w:p>
        </w:tc>
        <w:tc>
          <w:tcPr>
            <w:tcW w:type="dxa" w:w="1234"/>
          </w:tcPr>
          <w:p>
            <w:r>
              <w:t>Skill / founder fit</w:t>
            </w:r>
          </w:p>
        </w:tc>
        <w:tc>
          <w:tcPr>
            <w:tcW w:type="dxa" w:w="1234"/>
          </w:tcPr>
          <w:p>
            <w:r>
              <w:t>5</w:t>
            </w:r>
          </w:p>
        </w:tc>
        <w:tc>
          <w:tcPr>
            <w:tcW w:type="dxa" w:w="1234"/>
          </w:tcPr>
          <w:p>
            <w:r>
              <w:t>7</w:t>
            </w:r>
          </w:p>
        </w:tc>
        <w:tc>
          <w:tcPr>
            <w:tcW w:type="dxa" w:w="1234"/>
          </w:tcPr>
          <w:p>
            <w:r>
              <w:t>7</w:t>
            </w:r>
          </w:p>
        </w:tc>
        <w:tc>
          <w:tcPr>
            <w:tcW w:type="dxa" w:w="1234"/>
          </w:tcPr>
          <w:p>
            <w:r>
              <w:t>—</w:t>
            </w:r>
          </w:p>
        </w:tc>
        <w:tc>
          <w:tcPr>
            <w:tcW w:type="dxa" w:w="1234"/>
          </w:tcPr>
          <w:p>
            <w:r>
              <w:t>35</w:t>
            </w:r>
          </w:p>
        </w:tc>
      </w:tr>
      <w:tr>
        <w:tc>
          <w:tcPr>
            <w:tcW w:type="dxa" w:w="1234"/>
          </w:tcPr>
          <w:p>
            <w:r>
              <w:t>9</w:t>
            </w:r>
          </w:p>
        </w:tc>
        <w:tc>
          <w:tcPr>
            <w:tcW w:type="dxa" w:w="1234"/>
          </w:tcPr>
          <w:p>
            <w:r>
              <w:t>Scalability optionality</w:t>
            </w:r>
          </w:p>
        </w:tc>
        <w:tc>
          <w:tcPr>
            <w:tcW w:type="dxa" w:w="1234"/>
          </w:tcPr>
          <w:p>
            <w:r>
              <w:t>4</w:t>
            </w:r>
          </w:p>
        </w:tc>
        <w:tc>
          <w:tcPr>
            <w:tcW w:type="dxa" w:w="1234"/>
          </w:tcPr>
          <w:p>
            <w:r>
              <w:t>8</w:t>
            </w:r>
          </w:p>
        </w:tc>
        <w:tc>
          <w:tcPr>
            <w:tcW w:type="dxa" w:w="1234"/>
          </w:tcPr>
          <w:p>
            <w:r>
              <w:t>8</w:t>
            </w:r>
          </w:p>
        </w:tc>
        <w:tc>
          <w:tcPr>
            <w:tcW w:type="dxa" w:w="1234"/>
          </w:tcPr>
          <w:p>
            <w:r>
              <w:t>—</w:t>
            </w:r>
          </w:p>
        </w:tc>
        <w:tc>
          <w:tcPr>
            <w:tcW w:type="dxa" w:w="1234"/>
          </w:tcPr>
          <w:p>
            <w:r>
              <w:t>32</w:t>
            </w:r>
          </w:p>
        </w:tc>
      </w:tr>
      <w:tr>
        <w:tc>
          <w:tcPr>
            <w:tcW w:type="dxa" w:w="1234"/>
          </w:tcPr>
          <w:p>
            <w:r/>
          </w:p>
        </w:tc>
        <w:tc>
          <w:tcPr>
            <w:tcW w:type="dxa" w:w="1234"/>
          </w:tcPr>
          <w:p>
            <w:r>
              <w:t>Total</w:t>
            </w:r>
          </w:p>
        </w:tc>
        <w:tc>
          <w:tcPr>
            <w:tcW w:type="dxa" w:w="1234"/>
          </w:tcPr>
          <w:p>
            <w:r>
              <w:t>100</w:t>
            </w:r>
          </w:p>
        </w:tc>
        <w:tc>
          <w:tcPr>
            <w:tcW w:type="dxa" w:w="1234"/>
          </w:tcPr>
          <w:p>
            <w:r/>
          </w:p>
        </w:tc>
        <w:tc>
          <w:tcPr>
            <w:tcW w:type="dxa" w:w="1234"/>
          </w:tcPr>
          <w:p>
            <w:r/>
          </w:p>
        </w:tc>
        <w:tc>
          <w:tcPr>
            <w:tcW w:type="dxa" w:w="1234"/>
          </w:tcPr>
          <w:p>
            <w:r/>
          </w:p>
        </w:tc>
        <w:tc>
          <w:tcPr>
            <w:tcW w:type="dxa" w:w="1234"/>
          </w:tcPr>
          <w:p>
            <w:r>
              <w:t>764</w:t>
            </w:r>
          </w:p>
        </w:tc>
      </w:tr>
    </w:tbl>
    <w:p>
      <w:r>
        <w:t xml:space="preserve">Sum: 225+108+91+96+70+72+35+35+32 = </w:t>
      </w:r>
      <w:r>
        <w:rPr>
          <w:b/>
        </w:rPr>
        <w:t>764 → 76.4/100.</w:t>
      </w:r>
      <w:r/>
    </w:p>
    <w:p>
      <w:r/>
      <w:r>
        <w:rPr>
          <w:b/>
        </w:rPr>
        <w:t>Red-team effect: 79.2 → 76.4 (−2.8 points).</w:t>
      </w:r>
      <w:r>
        <w:t xml:space="preserve"> Three evidenced down-moves (income, probability, ops); zero up-moves survived scrutiny, including the competition dimension, which was declined for inflation. The concept was a high B before the red-team and remains a B after it (deeper in the band, further from the A line) — the verdict is robust to the adjustment.</w:t>
      </w:r>
    </w:p>
    <w:p>
      <w:r>
        <w:t>________________________________________</w:t>
      </w:r>
    </w:p>
    <w:p>
      <w:pPr>
        <w:pStyle w:val="Heading2"/>
      </w:pPr>
      <w:r>
        <w:t>RECOMMENDATION: TIER B (Promising) → REFINE (a strong, lean-GO refine)</w:t>
      </w:r>
    </w:p>
    <w:p>
      <w:r/>
      <w:r>
        <w:rPr>
          <w:b/>
        </w:rPr>
        <w:t>The PM read (one paragraph).</w:t>
      </w:r>
      <w:r>
        <w:t xml:space="preserve"> This is the best demand-and-capital core the field is likely to produce: a federally mandated, deadline-driven, contract-gating, recurring buy into a population that is ~98.6% unserved, launchable on low five figures with customers paying before we incur cost. The CFO (8.0) and CMO (7.7) are right that the money and the market are exceptional, and Legal confirms the regulatory exposure is navigable, not fatal. It lands at B rather than A for two honest, evidenced reasons the red-team confirmed and refused to wish away: (1) the competition dimension is a hard 6 — this is a 2026 land-grab where the exact pitch is already in-market (Workstreet), the strongest brand has already reached down (Summit 7), and the headline discovery wedge was commoditized weeks ago (FutureFeed+Teramis) — so defensibility must be built (brand, vertical trust, referral flywheel, recurring lock-in), it isn't structural; and (2) the entire income story rides on an unproven number — how many clients one trained staffer can carry once AI absorbs the paperwork — which separates a ~60%-margin scalable service from a ~40%-margin consultancy that caps out. Neither is a reason to walk; both are reasons to refine the position and prove the number cheaply before committing serious build capital.</w:t>
      </w:r>
    </w:p>
    <w:p>
      <w:r/>
      <w:r>
        <w:rPr>
          <w:b/>
        </w:rPr>
        <w:t>Why not GO (unconditional).</w:t>
      </w:r>
      <w:r>
        <w:t xml:space="preserve"> The two load-bearing unknowns — the clients-per-FTE margin and whether a sharp, defensible position can be carved before the window crowds — are exactly what a one- to three-month, near-zero-cost validation phase answers. Committing the full build before measuring the margin on real jobs would be betting the thesis on its most fragile assumption.</w:t>
      </w:r>
    </w:p>
    <w:p>
      <w:r/>
      <w:r>
        <w:rPr>
          <w:b/>
        </w:rPr>
        <w:t>Why not KILL.</w:t>
      </w:r>
      <w:r>
        <w:t xml:space="preserve"> Nothing here is fatal. The legal gate is SERIOUS-BUT-MANAGEABLE (a checklist, not a wall). The competition is crowding but not closed — no funded horizontal platform absorbs the human-managed-outcome layer for non-technical owners in two quarters, and that layer is real, sticky, and currently under-occupied. The demand is the strongest the council has evidenced. Killing a 76.4 B with this demand profile over two cheaply-testable unknowns would be deflation, which this framework forbids.</w:t>
      </w:r>
    </w:p>
    <w:p>
      <w:r/>
      <w:r>
        <w:rPr>
          <w:b/>
        </w:rPr>
        <w:t>The specific structural change to test (the REFINE).</w:t>
      </w:r>
      <w:r>
        <w:t xml:space="preserve"> Narrow hard from "AI-powered managed CMMC for small contractors" (a position already owned, word-for-word, by Workstreet) to </w:t>
      </w:r>
      <w:r>
        <w:rPr>
          <w:b/>
        </w:rPr>
        <w:t>one ownable vertical with a trust-and-distribution moat</w:t>
      </w:r>
      <w:r>
        <w:t xml:space="preserve"> — e.g., "the CMMC team precision machine shops trust to keep their contracts." Concretely: (a) pick one or two tight DIB niches (precision machining, specialty electronics) and own the plain-English content/SEO and case studies there; (b) make the durable moat the distribution and trust flywheel — semi-exclusive referral relationships with APEX/MEP centers and 3–5 accredited assessors in the target regions, plus the recurring lock-in — since the technical stack (discovery, enclave, assessor network, GRC tooling) is rentable by anyone and therefore cannot be the moat; (c) treat speed as a weapon given the Nov-2026 gate. This addresses the Competitive Analyst (the dimension holding it out of A) and is verifiable via the 90-day referral-and-conversion pilot. Re-review after the validation phase (target ~90 days): if the pilots land, this concept genuinely moves toward A.</w:t>
      </w:r>
    </w:p>
    <w:p>
      <w:r/>
      <w:r>
        <w:rPr>
          <w:b/>
        </w:rPr>
        <w:t>The single metric that proves the thesis.</w:t>
      </w:r>
      <w:r>
        <w:t xml:space="preserve"> </w:t>
      </w:r>
      <w:r>
        <w:rPr>
          <w:b/>
        </w:rPr>
        <w:t>Measured clients-per-delivery-FTE after AI, from 3–5 real paid certifications, with every task time-tracked.</w:t>
      </w:r>
      <w:r>
        <w:t xml:space="preserve"> If one credentialed success manager can carry ~15+ active continuity clients (while closing new certs) at a blended gross margin around 60%, the income ladder, the scaling curve, and the financeable-asset thesis are all real — and combined with a locked vertical position, this clears into A-tier. If that number comes in at 5–8 clients/FTE, this is an honest ~40%-margin boutique consultancy, and the founders should know that before they scale, not after. One number, cheaply measured, decides it.</w:t>
      </w:r>
    </w:p>
    <w:p>
      <w:r/>
      <w:r>
        <w:rPr>
          <w:b/>
        </w:rPr>
        <w:t>Bottom line:</w:t>
      </w:r>
      <w:r>
        <w:t xml:space="preserve"> Objectives Weighted Score </w:t>
      </w:r>
      <w:r>
        <w:rPr>
          <w:b/>
        </w:rPr>
        <w:t>76.4/100</w:t>
      </w:r>
      <w:r>
        <w:t xml:space="preserve"> (pre-red-team 79.2), </w:t>
      </w:r>
      <w:r>
        <w:rPr>
          <w:b/>
        </w:rPr>
        <w:t>Tier B — Promising</w:t>
      </w:r>
      <w:r>
        <w:t xml:space="preserve">, Legal gate </w:t>
      </w:r>
      <w:r>
        <w:rPr>
          <w:b/>
        </w:rPr>
        <w:t>SERIOUS-BUT-MANAGEABLE</w:t>
      </w:r>
      <w:r>
        <w:t xml:space="preserve"> (no down-tier), lowest sub-score </w:t>
      </w:r>
      <w:r>
        <w:rPr>
          <w:b/>
        </w:rPr>
        <w:t>4</w:t>
      </w:r>
      <w:r>
        <w:t xml:space="preserve"> (COO vendor/partner dependency). Verdict: </w:t>
      </w:r>
      <w:r>
        <w:rPr>
          <w:b/>
        </w:rPr>
        <w:t>REFINE (lean-GO)</w:t>
      </w:r>
      <w:r>
        <w:t xml:space="preserve"> — narrow to an ownable vertical with a distribution/trust moat, and prove clients-per-FTE on 3–5 real paid jobs. The red-team moved it down 2.8 points on three evidenced dimensions and explicitly declined to inflate competition to reach A — a genuine B, not an A held back by a technicality, and not a C buried out of timidity.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