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Beaufort</w:t>
      </w:r>
      <w:r>
        <w:t xml:space="preserve"> </w:t>
      </w:r>
      <w:r>
        <w:t xml:space="preserve">Report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Jonah</w:t>
      </w:r>
      <w:r>
        <w:t xml:space="preserve"> </w:t>
      </w:r>
      <w:r>
        <w:t xml:space="preserve">Bacon</w:t>
      </w:r>
    </w:p>
    <w:p>
      <w:pPr>
        <w:pStyle w:val="Date"/>
      </w:pPr>
      <w:r>
        <w:t xml:space="preserve">Oct</w:t>
      </w:r>
      <w:r>
        <w:t xml:space="preserve"> </w:t>
      </w:r>
      <w:r>
        <w:t xml:space="preserve">01,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document produces tables for the Beaufort Report then outputs it to MS Word.</w:t>
      </w:r>
      <w:r>
        <w:t xml:space="preserve"> </w:t>
      </w:r>
      <w:r>
        <w:t xml:space="preserve">The tables from the Word doc can then be copied into Excel for final formatting to remain consistent.</w:t>
      </w:r>
      <w:r>
        <w:t xml:space="preserve"> </w:t>
      </w:r>
      <w:r>
        <w:t xml:space="preserve">If you are looking at this in RStudio, press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 to create the Word document.</w:t>
      </w:r>
    </w:p>
    <w:p>
      <w:pPr>
        <w:pStyle w:val="BodyText"/>
      </w:pPr>
      <w:r>
        <w:t xml:space="preserve">First is Table 3, which is actually a combination of two tables: catch totals and a diversity summary.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Catch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Cod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Cisco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Flounder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 Whitefish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Capelin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Dolly Varden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Fourhorn Sculpin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Grayling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Humpback Whitefish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Least Cisco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Ninespine Stickleback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Pacific Herring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Pink Salmon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Rainbow Smelt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Whitefish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Saffron Cod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Threespine Stickleback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40,390</w:t>
            </w:r>
          </w:p>
        </w:tc>
      </w:tr>
    </w:tbl>
    <w:p>
      <w:pPr>
        <w:pStyle w:val="BodyText"/>
      </w:pPr>
      <w:r>
        <w:t xml:space="preserve">The following is the same table but formatted using a different package, and this time the diversity table follows.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12"/>
        <w:gridCol w:w="976"/>
        <w:gridCol w:w="867"/>
        <w:gridCol w:w="867"/>
        <w:gridCol w:w="976"/>
        <w:gridCol w:w="1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Catch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Cod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Cisco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3,399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Flounder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 Whitefish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Capelin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Dolly Varden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Fourhorn Sculpin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Grayling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Humpback Whitefish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Least Cisco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Ninespine Stickleback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Pacific Herring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Pink Salmon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Rainbow Smelt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Whitefish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Saffron Cod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Threespine Stickleback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8,388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2,558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40,390</w:t>
            </w:r>
          </w:p>
        </w:tc>
      </w:tr>
    </w:tbl>
    <w:p>
      <w:r>
        <w:br w:type="page"/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21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shan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1.994635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2.231855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2.168013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1.651531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2.087187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even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0.6900962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0.7721690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0.7500809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0.5713907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0.7221171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`summarise()` has grouped output by 'Net'. You can override using the `.groups`</w:t>
      </w:r>
      <w:r>
        <w:br/>
      </w:r>
      <w:r>
        <w:rPr>
          <w:rStyle w:val="VerbatimChar"/>
        </w:rPr>
        <w:t xml:space="preserve">##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NetNights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</w:tbl>
    <w:p>
      <w:pPr>
        <w:pStyle w:val="BodyText"/>
      </w:pPr>
      <w:r>
        <w:t xml:space="preserve">The following two tables (Table 2) will need to be united together in Excel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MeanSalin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6.3053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0.1–30.2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6.9608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6.0983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0.2–30.1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9.1623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0.1–32.6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0.2–32.1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0.1–31.1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8.4932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7.8726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0.1–28.9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0.2–30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0.3–29.1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0–29.5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8.2993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0.5–14.9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0.7–18.8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0.3–15.2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1.7–15.2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1.6–13.5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0.1–17.9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3.7–12.5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0.4–19.1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4.3–22.1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3.7–14.2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3.7–14.2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3.6–17.1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2.1–15.2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2.2–13.3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2.3–15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2.9–17.8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1.3–15.7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4.2–16.9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6.2–10.6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1.4–16.1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2.6528</w:t>
            </w:r>
          </w:p>
        </w:tc>
      </w:tr>
    </w:tbl>
    <w:p>
      <w:pPr>
        <w:pStyle w:val="BodyText"/>
      </w:pPr>
      <w:r>
        <w:t xml:space="preserve">Now Table 4: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9"/>
        <w:gridCol w:w="1421"/>
        <w:gridCol w:w="1320"/>
        <w:gridCol w:w="1421"/>
        <w:gridCol w:w="18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NumberSampled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MeanLengthmm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LengthRangemm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StandardDeviation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Cisco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48–414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74.2293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Cod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54–208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 Whitefish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40–503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101.7055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Dolly Varden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94–650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140.2867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Humpback Whitefish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145–475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Least Cisco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79–425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Pink Salmon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108–411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174.9371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Rainbow Smelt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33–265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Saffron Cod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39–501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48.0345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Beaufort Report Tables</dc:title>
  <dc:creator>Jonah Bacon</dc:creator>
  <cp:keywords/>
  <dcterms:created xsi:type="dcterms:W3CDTF">2022-10-04T17:45:55Z</dcterms:created>
  <dcterms:modified xsi:type="dcterms:W3CDTF">2022-10-04T17:45:55Z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 01, 2022</vt:lpwstr>
  </property>
  <property fmtid="{D5CDD505-2E9C-101B-9397-08002B2CF9AE}" pid="3" name="output">
    <vt:lpwstr>word_document</vt:lpwstr>
  </property>
</Properties>
</file>