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05BF" w:rsidRDefault="002B6D10">
      <w:pPr>
        <w:pStyle w:val="papersubtitle"/>
        <w:rPr>
          <w:iCs/>
          <w:sz w:val="48"/>
          <w:szCs w:val="48"/>
        </w:rPr>
      </w:pPr>
      <w:r w:rsidRPr="002B6D10">
        <w:rPr>
          <w:iCs/>
          <w:sz w:val="48"/>
          <w:szCs w:val="48"/>
        </w:rPr>
        <w:t>Use of the Myo-Shpero Controller (wearable technology) prototype for the formulation of a preventive strategy and attack on combat patrol.</w:t>
      </w:r>
    </w:p>
    <w:p w:rsidR="00ED13D6" w:rsidRPr="002B6D10" w:rsidRDefault="000C6A95">
      <w:pPr>
        <w:pStyle w:val="papersubtitle"/>
        <w:rPr>
          <w:iCs/>
        </w:rPr>
      </w:pPr>
      <w:r w:rsidRPr="002B6D10">
        <w:rPr>
          <w:iCs/>
        </w:rPr>
        <w:t xml:space="preserve">Paper </w:t>
      </w:r>
      <w:r w:rsidR="00ED13D6" w:rsidRPr="002B6D10">
        <w:rPr>
          <w:iCs/>
        </w:rPr>
        <w:t xml:space="preserve">Subtitle </w:t>
      </w:r>
      <w:r w:rsidR="007522C5" w:rsidRPr="002B6D10">
        <w:rPr>
          <w:iCs/>
        </w:rPr>
        <w:t>if</w:t>
      </w:r>
      <w:r w:rsidRPr="002B6D10">
        <w:rPr>
          <w:iCs/>
        </w:rPr>
        <w:t xml:space="preserve"> needed</w:t>
      </w:r>
    </w:p>
    <w:p w:rsidR="00ED13D6" w:rsidRPr="002B6D10" w:rsidRDefault="00ED13D6">
      <w:pPr>
        <w:pStyle w:val="Author"/>
        <w:sectPr w:rsidR="00ED13D6" w:rsidRPr="002B6D10">
          <w:pgSz w:w="11909" w:h="16834" w:code="9"/>
          <w:pgMar w:top="1080" w:right="734" w:bottom="2434" w:left="734" w:header="720" w:footer="720" w:gutter="0"/>
          <w:cols w:space="720"/>
          <w:docGrid w:linePitch="360"/>
        </w:sectPr>
      </w:pPr>
    </w:p>
    <w:p w:rsidR="00ED13D6" w:rsidRPr="00B57A1C" w:rsidRDefault="00ED13D6" w:rsidP="00B57A1C">
      <w:pPr>
        <w:pStyle w:val="Author"/>
      </w:pPr>
      <w:r w:rsidRPr="00B57A1C">
        <w:lastRenderedPageBreak/>
        <w:t>A</w:t>
      </w:r>
      <w:r w:rsidR="00142814">
        <w:t>ndres Lopez</w:t>
      </w:r>
      <w:r w:rsidRPr="00B57A1C">
        <w:t xml:space="preserve"> </w:t>
      </w:r>
      <w:r w:rsidRPr="00E02BE6">
        <w:t>(Author)</w:t>
      </w:r>
    </w:p>
    <w:p w:rsidR="00ED13D6" w:rsidRPr="00B57A1C" w:rsidRDefault="00ED13D6" w:rsidP="00B57A1C">
      <w:pPr>
        <w:pStyle w:val="Affiliation"/>
      </w:pPr>
      <w:r w:rsidRPr="00B57A1C">
        <w:t xml:space="preserve">line 1 (of </w:t>
      </w:r>
      <w:r w:rsidRPr="00E02BE6">
        <w:t>Affiliation</w:t>
      </w:r>
      <w:r w:rsidRPr="00B57A1C">
        <w:t>): dept. name of organization</w:t>
      </w:r>
    </w:p>
    <w:p w:rsidR="00ED13D6" w:rsidRPr="00B57A1C" w:rsidRDefault="00ED13D6" w:rsidP="00B57A1C">
      <w:pPr>
        <w:pStyle w:val="Affiliation"/>
      </w:pPr>
      <w:r w:rsidRPr="00B57A1C">
        <w:t>line 2: name of organization, acronyms acceptable</w:t>
      </w:r>
    </w:p>
    <w:p w:rsidR="00ED13D6" w:rsidRPr="00B57A1C" w:rsidRDefault="00ED13D6" w:rsidP="00B57A1C">
      <w:pPr>
        <w:pStyle w:val="Affiliation"/>
      </w:pPr>
      <w:r w:rsidRPr="00B57A1C">
        <w:t>line 3: City, Country</w:t>
      </w:r>
    </w:p>
    <w:p w:rsidR="00ED13D6" w:rsidRPr="00B57A1C" w:rsidRDefault="00ED13D6" w:rsidP="00B57A1C">
      <w:pPr>
        <w:pStyle w:val="Affiliation"/>
      </w:pPr>
      <w:r w:rsidRPr="00B57A1C">
        <w:t>line 4: e-mail address if desired</w:t>
      </w:r>
    </w:p>
    <w:p w:rsidR="00ED13D6" w:rsidRDefault="00142814" w:rsidP="00B57A1C">
      <w:pPr>
        <w:pStyle w:val="Author"/>
      </w:pPr>
      <w:r>
        <w:lastRenderedPageBreak/>
        <w:t>Jhonatan Salazar</w:t>
      </w:r>
      <w:r w:rsidR="00ED13D6">
        <w:t xml:space="preserve"> </w:t>
      </w:r>
      <w:r w:rsidR="00ED13D6" w:rsidRPr="00E02BE6">
        <w:t>(Author)</w:t>
      </w:r>
    </w:p>
    <w:p w:rsidR="00ED13D6" w:rsidRPr="00B57A1C" w:rsidRDefault="00ED13D6" w:rsidP="00B57A1C">
      <w:pPr>
        <w:pStyle w:val="Affiliation"/>
      </w:pPr>
      <w:r w:rsidRPr="00B57A1C">
        <w:t xml:space="preserve">line 1 (of </w:t>
      </w:r>
      <w:r w:rsidRPr="00E02BE6">
        <w:t>Affiliation</w:t>
      </w:r>
      <w:r w:rsidRPr="00B57A1C">
        <w:t>): dept. name of organization</w:t>
      </w:r>
    </w:p>
    <w:p w:rsidR="00ED13D6" w:rsidRPr="00B57A1C" w:rsidRDefault="00ED13D6" w:rsidP="00B57A1C">
      <w:pPr>
        <w:pStyle w:val="Affiliation"/>
      </w:pPr>
      <w:r w:rsidRPr="00B57A1C">
        <w:t>line 2: name of organization, acronyms acceptable</w:t>
      </w:r>
    </w:p>
    <w:p w:rsidR="00ED13D6" w:rsidRPr="00B57A1C" w:rsidRDefault="00ED13D6" w:rsidP="00B57A1C">
      <w:pPr>
        <w:pStyle w:val="Affiliation"/>
      </w:pPr>
      <w:r w:rsidRPr="00B57A1C">
        <w:t>line 3: City, Country</w:t>
      </w:r>
    </w:p>
    <w:p w:rsidR="00ED13D6" w:rsidRPr="00B57A1C" w:rsidRDefault="00ED13D6" w:rsidP="00B57A1C">
      <w:pPr>
        <w:pStyle w:val="Affiliation"/>
        <w:sectPr w:rsidR="00ED13D6" w:rsidRPr="00B57A1C">
          <w:type w:val="continuous"/>
          <w:pgSz w:w="11909" w:h="16834" w:code="9"/>
          <w:pgMar w:top="1080" w:right="734" w:bottom="2434" w:left="734" w:header="720" w:footer="720" w:gutter="0"/>
          <w:cols w:num="2" w:space="720" w:equalWidth="0">
            <w:col w:w="4860" w:space="720"/>
            <w:col w:w="4860"/>
          </w:cols>
          <w:docGrid w:linePitch="360"/>
        </w:sectPr>
      </w:pPr>
      <w:r w:rsidRPr="00B57A1C">
        <w:t>line 4: e-mail address if de</w:t>
      </w:r>
      <w:r w:rsidR="00C97B98">
        <w:t>sired</w:t>
      </w:r>
    </w:p>
    <w:p w:rsidR="00ED13D6" w:rsidRPr="00E02BE6" w:rsidRDefault="00ED13D6" w:rsidP="00C97B98">
      <w:pPr>
        <w:jc w:val="both"/>
      </w:pPr>
    </w:p>
    <w:p w:rsidR="00ED13D6" w:rsidRPr="00E02BE6" w:rsidRDefault="00ED13D6">
      <w:pPr>
        <w:sectPr w:rsidR="00ED13D6" w:rsidRPr="00E02BE6">
          <w:type w:val="continuous"/>
          <w:pgSz w:w="11909" w:h="16834" w:code="9"/>
          <w:pgMar w:top="1080" w:right="734" w:bottom="2434" w:left="734" w:header="720" w:footer="720" w:gutter="0"/>
          <w:cols w:space="720"/>
          <w:docGrid w:linePitch="360"/>
        </w:sectPr>
      </w:pPr>
    </w:p>
    <w:p w:rsidR="00ED13D6" w:rsidRPr="00B23B47" w:rsidRDefault="00ED13D6">
      <w:pPr>
        <w:pStyle w:val="Abstract"/>
        <w:rPr>
          <w:lang w:val="es-EC"/>
        </w:rPr>
      </w:pPr>
      <w:r w:rsidRPr="00B23B47">
        <w:rPr>
          <w:rStyle w:val="StyleAbstractItalicChar"/>
          <w:lang w:val="es-EC"/>
        </w:rPr>
        <w:lastRenderedPageBreak/>
        <w:t>Abstract</w:t>
      </w:r>
      <w:r w:rsidR="00FD17EC" w:rsidRPr="00B23B47">
        <w:rPr>
          <w:rStyle w:val="StyleAbstractItalicChar"/>
          <w:lang w:val="es-EC"/>
        </w:rPr>
        <w:t xml:space="preserve"> </w:t>
      </w:r>
      <w:r w:rsidRPr="00B23B47">
        <w:rPr>
          <w:lang w:val="es-EC"/>
        </w:rPr>
        <w:t>—</w:t>
      </w:r>
      <w:r w:rsidR="00FD17EC" w:rsidRPr="00B23B47">
        <w:rPr>
          <w:lang w:val="es-EC"/>
        </w:rPr>
        <w:t xml:space="preserve"> </w:t>
      </w:r>
      <w:r w:rsidR="00B23B47" w:rsidRPr="00B23B47">
        <w:rPr>
          <w:lang w:val="es-EC"/>
        </w:rPr>
        <w:t>Esta investigación genera una estrategia preventiva para las patrullas de combate con el uso de la tecnología weareable que ha integrado una solución práctica para las diferentes áreas: aplicaciones lógicas</w:t>
      </w:r>
      <w:r w:rsidR="00B23B47">
        <w:rPr>
          <w:lang w:val="es-EC"/>
        </w:rPr>
        <w:t>,</w:t>
      </w:r>
      <w:r w:rsidR="00B23B47" w:rsidRPr="00B23B47">
        <w:rPr>
          <w:lang w:val="es-EC"/>
        </w:rPr>
        <w:t xml:space="preserve"> defensa, estrategia, y operaciones militares en el campo de combate. Con el uso del brazalete MYO se reciben las señales </w:t>
      </w:r>
      <w:proofErr w:type="spellStart"/>
      <w:r w:rsidR="00B23B47" w:rsidRPr="00B23B47">
        <w:rPr>
          <w:lang w:val="es-EC"/>
        </w:rPr>
        <w:t>electromiogr</w:t>
      </w:r>
      <w:r w:rsidR="00B23B47">
        <w:rPr>
          <w:lang w:val="es-EC"/>
        </w:rPr>
        <w:t>á</w:t>
      </w:r>
      <w:r w:rsidR="00B23B47" w:rsidRPr="00B23B47">
        <w:rPr>
          <w:lang w:val="es-EC"/>
        </w:rPr>
        <w:t>ficas</w:t>
      </w:r>
      <w:proofErr w:type="spellEnd"/>
      <w:r w:rsidR="00B23B47" w:rsidRPr="00B23B47">
        <w:rPr>
          <w:lang w:val="es-EC"/>
        </w:rPr>
        <w:t xml:space="preserve"> que emiten los músculos del brazo, </w:t>
      </w:r>
      <w:r w:rsidR="00B23B47">
        <w:rPr>
          <w:lang w:val="es-EC"/>
        </w:rPr>
        <w:t xml:space="preserve">señales que son almacenadas en una </w:t>
      </w:r>
      <w:r w:rsidR="00B23B47" w:rsidRPr="00B23B47">
        <w:rPr>
          <w:lang w:val="es-EC"/>
        </w:rPr>
        <w:t xml:space="preserve">base de datos </w:t>
      </w:r>
      <w:r w:rsidR="00B23B47">
        <w:rPr>
          <w:lang w:val="es-EC"/>
        </w:rPr>
        <w:t>que son implementadas como gestos</w:t>
      </w:r>
      <w:r w:rsidR="00B23B47" w:rsidRPr="00B23B47">
        <w:rPr>
          <w:lang w:val="es-EC"/>
        </w:rPr>
        <w:t xml:space="preserve"> para</w:t>
      </w:r>
      <w:r w:rsidR="00B23B47">
        <w:rPr>
          <w:lang w:val="es-EC"/>
        </w:rPr>
        <w:t xml:space="preserve"> el comportamiento </w:t>
      </w:r>
      <w:r w:rsidR="00B23B47" w:rsidRPr="00B23B47">
        <w:rPr>
          <w:lang w:val="es-EC"/>
        </w:rPr>
        <w:t>del robot Sphero, con el uso de esta estrategia weareable se pretende disminuir las bajas en las patrullas y una estrategia de ataque más efectiva.</w:t>
      </w:r>
    </w:p>
    <w:p w:rsidR="00ED13D6" w:rsidRPr="00B57A1C" w:rsidRDefault="00ED13D6" w:rsidP="00B57A1C">
      <w:pPr>
        <w:pStyle w:val="keywords"/>
      </w:pPr>
      <w:r w:rsidRPr="00B57A1C">
        <w:t>Keywords</w:t>
      </w:r>
      <w:r w:rsidR="00FD17EC">
        <w:t xml:space="preserve"> </w:t>
      </w:r>
      <w:r w:rsidRPr="00B57A1C">
        <w:t>-</w:t>
      </w:r>
      <w:r w:rsidR="00FD17EC">
        <w:t xml:space="preserve"> </w:t>
      </w:r>
      <w:r w:rsidRPr="00B57A1C">
        <w:t>component; for</w:t>
      </w:r>
      <w:r w:rsidR="0002511E">
        <w:t>matting; style; styling; insert.</w:t>
      </w:r>
    </w:p>
    <w:p w:rsidR="00ED13D6" w:rsidRDefault="00ED13D6" w:rsidP="00B57A1C">
      <w:pPr>
        <w:pStyle w:val="Ttulo11"/>
      </w:pPr>
      <w:r>
        <w:t xml:space="preserve"> </w:t>
      </w:r>
      <w:r w:rsidRPr="00B57A1C">
        <w:t>Introduction</w:t>
      </w:r>
      <w:r>
        <w:t xml:space="preserve"> </w:t>
      </w:r>
      <w:bookmarkStart w:id="0" w:name="_GoBack"/>
      <w:bookmarkEnd w:id="0"/>
    </w:p>
    <w:p w:rsidR="00ED13D6" w:rsidRDefault="00C27852" w:rsidP="00D55A94">
      <w:pPr>
        <w:pStyle w:val="Textoindependiente"/>
      </w:pPr>
      <w:r w:rsidRPr="00C27852">
        <w:t>Robots are consistently integrated in various fields to relieve human workers of the arduous and tedious tasks. They are currently used for applications including office, military tasks, Hospital operations, industrial automation, planetary exploration, security systems, dangerous environment and agriculture (1). One area of focus in the Battlefield Information Processing Branch is in human and information interaction, which addresses getting the right information to the right people at the right time to achieve the right objective. This work is divided into 2 areas: 1) information access and 2) information-based collaboration and negotiation. An example of work in the information access initiative is using machine learning (ML) technology to model human gestures to exploit human physiological information. One aspect of this study is collecting arm gesture data from volunteers wearing an arm motion-tracking sensor to train a classifier (e.g., Naïve Bayes) capable of recognizing similar arm gestures. The data collection procedure is described in the following sections.</w:t>
      </w:r>
    </w:p>
    <w:p w:rsidR="00ED13D6" w:rsidRDefault="00ED13D6" w:rsidP="00B57A1C">
      <w:pPr>
        <w:pStyle w:val="Ttulo11"/>
      </w:pPr>
      <w:r>
        <w:t>Ease of Use</w:t>
      </w:r>
    </w:p>
    <w:p w:rsidR="00ED13D6" w:rsidRDefault="00ED13D6" w:rsidP="00B57A1C">
      <w:pPr>
        <w:pStyle w:val="Ttulo21"/>
      </w:pPr>
      <w:r>
        <w:t xml:space="preserve">Selecting a </w:t>
      </w:r>
      <w:r w:rsidRPr="00B57A1C">
        <w:t>Template</w:t>
      </w:r>
      <w:r>
        <w:t xml:space="preserve"> (Heading 2)</w:t>
      </w:r>
    </w:p>
    <w:p w:rsidR="00ED13D6" w:rsidRDefault="00ED13D6" w:rsidP="00FB3E7D">
      <w:pPr>
        <w:pStyle w:val="Textoindependiente"/>
      </w:pPr>
      <w:r>
        <w:t xml:space="preserve">First, confirm that you have the correct template for your paper size. This template has been tailored for output on the A4 paper size. If you are using </w:t>
      </w:r>
      <w:smartTag w:uri="urn:schemas-microsoft-com:office:smarttags" w:element="country-region">
        <w:smartTag w:uri="urn:schemas-microsoft-com:office:smarttags" w:element="place">
          <w:r>
            <w:t>US</w:t>
          </w:r>
        </w:smartTag>
      </w:smartTag>
      <w:r>
        <w:t xml:space="preserve"> letter-sized paper, please close this file and downloa</w:t>
      </w:r>
      <w:r w:rsidR="00FB3E7D">
        <w:t>d the file for “</w:t>
      </w:r>
      <w:proofErr w:type="spellStart"/>
      <w:r w:rsidR="00FB3E7D">
        <w:t>MSW_</w:t>
      </w:r>
      <w:r>
        <w:t>USltr</w:t>
      </w:r>
      <w:r w:rsidR="00FB3E7D">
        <w:t>_</w:t>
      </w:r>
      <w:r>
        <w:t>format</w:t>
      </w:r>
      <w:proofErr w:type="spellEnd"/>
      <w:r>
        <w:t>”.</w:t>
      </w:r>
    </w:p>
    <w:p w:rsidR="00ED13D6" w:rsidRDefault="00ED13D6" w:rsidP="00B57A1C">
      <w:pPr>
        <w:pStyle w:val="Ttulo21"/>
      </w:pPr>
      <w:r>
        <w:t>Maintaining the Integrity of the Specifications</w:t>
      </w:r>
    </w:p>
    <w:p w:rsidR="00ED13D6" w:rsidRPr="00E02BE6" w:rsidRDefault="00ED13D6">
      <w:pPr>
        <w:pStyle w:val="sponsors"/>
        <w:framePr w:wrap="auto" w:vAnchor="page" w:hAnchor="page" w:x="735" w:y="14761"/>
      </w:pPr>
      <w:r w:rsidRPr="00E02BE6">
        <w:t xml:space="preserve">Identify applicable sponsor/s here. </w:t>
      </w:r>
      <w:r w:rsidR="00FB3E7D">
        <w:t xml:space="preserve">If no sponsors, delete this text box. </w:t>
      </w:r>
      <w:r w:rsidRPr="00B57A1C">
        <w:t>(sponsors)</w:t>
      </w:r>
    </w:p>
    <w:p w:rsidR="00ED13D6" w:rsidRPr="00B57A1C" w:rsidRDefault="00ED13D6">
      <w:pPr>
        <w:pStyle w:val="Textoindependiente"/>
      </w:pPr>
      <w:r w:rsidRPr="00B57A1C">
        <w:lastRenderedPageBreak/>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rsidR="00ED13D6" w:rsidRDefault="00ED13D6" w:rsidP="00B57A1C">
      <w:pPr>
        <w:pStyle w:val="Ttulo11"/>
      </w:pPr>
      <w:r>
        <w:t>Prepare Your Paper Before Styling</w:t>
      </w:r>
    </w:p>
    <w:p w:rsidR="00ED13D6" w:rsidRDefault="00ED13D6" w:rsidP="00B57A1C">
      <w:pPr>
        <w:pStyle w:val="Textoindependiente"/>
      </w:pPr>
      <w:r>
        <w:t>Before you begin to format your paper, first write and save the content as a separate text file. 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rsidR="00ED13D6" w:rsidRDefault="00ED13D6" w:rsidP="00B57A1C">
      <w:pPr>
        <w:pStyle w:val="Textoindependiente"/>
      </w:pPr>
      <w:r>
        <w:t>Finally, complete content and organizational editing before formatting. Please take note of the following items when proofreading spelling and grammar:</w:t>
      </w:r>
    </w:p>
    <w:p w:rsidR="00ED13D6" w:rsidRDefault="00ED13D6" w:rsidP="00B57A1C">
      <w:pPr>
        <w:pStyle w:val="Ttulo21"/>
      </w:pPr>
      <w:r>
        <w:t>Abbreviations and Acronyms</w:t>
      </w:r>
    </w:p>
    <w:p w:rsidR="00ED13D6" w:rsidRDefault="00ED13D6" w:rsidP="00B57A1C">
      <w:pPr>
        <w:pStyle w:val="Textoindependiente"/>
      </w:pPr>
      <w:r>
        <w:t xml:space="preserve">Define abbreviations and acronyms the first time they are used in the text, even after they have been defined in the abstract. Abbreviations such as IEEE, SI, MKS, CGS, </w:t>
      </w:r>
      <w:proofErr w:type="spellStart"/>
      <w:r>
        <w:t>sc</w:t>
      </w:r>
      <w:proofErr w:type="spellEnd"/>
      <w:r>
        <w:t xml:space="preserve">, dc, and </w:t>
      </w:r>
      <w:proofErr w:type="spellStart"/>
      <w:r>
        <w:t>rms</w:t>
      </w:r>
      <w:proofErr w:type="spellEnd"/>
      <w:r>
        <w:t xml:space="preserve"> do not have to be defined. Do not use abbreviations in the title or heads unless they are unavoidable.</w:t>
      </w:r>
    </w:p>
    <w:p w:rsidR="00ED13D6" w:rsidRDefault="00ED13D6" w:rsidP="00B57A1C">
      <w:pPr>
        <w:pStyle w:val="Ttulo21"/>
      </w:pPr>
      <w:r>
        <w:t>Units</w:t>
      </w:r>
    </w:p>
    <w:p w:rsidR="00ED13D6" w:rsidRPr="00B57A1C" w:rsidRDefault="00ED13D6" w:rsidP="00B57A1C">
      <w:pPr>
        <w:pStyle w:val="bulletlist"/>
      </w:pPr>
      <w:r w:rsidRPr="00B57A1C">
        <w:t>Use either SI (MKS) or CGS as primary units. (SI units are encouraged.) English units may be used as secondary units (in parentheses). An exception would be the use of English units as identifiers in trade, such as “3.5-inch disk drive”.</w:t>
      </w:r>
    </w:p>
    <w:p w:rsidR="00ED13D6" w:rsidRPr="00B57A1C" w:rsidRDefault="00ED13D6" w:rsidP="00B57A1C">
      <w:pPr>
        <w:pStyle w:val="bulletlist"/>
      </w:pPr>
      <w:r w:rsidRPr="00B57A1C">
        <w:t xml:space="preserve">Avoid combining SI and CGS units, such as current in amperes and magnetic field in </w:t>
      </w:r>
      <w:proofErr w:type="spellStart"/>
      <w:r w:rsidRPr="00B57A1C">
        <w:t>oersteds</w:t>
      </w:r>
      <w:proofErr w:type="spellEnd"/>
      <w:r w:rsidRPr="00B57A1C">
        <w:t>. This often leads to confusion because equations do not balance dimensionally. If you must use mixed units, clearly state the units for each quantity that you use in an equation.</w:t>
      </w:r>
    </w:p>
    <w:p w:rsidR="00ED13D6" w:rsidRPr="00B57A1C" w:rsidRDefault="00ED13D6" w:rsidP="00B57A1C">
      <w:pPr>
        <w:pStyle w:val="bulletlist"/>
      </w:pPr>
      <w:r w:rsidRPr="00B57A1C">
        <w:lastRenderedPageBreak/>
        <w:t>Do not mix complete spellings and abbreviations of units: “</w:t>
      </w:r>
      <w:proofErr w:type="spellStart"/>
      <w:r w:rsidRPr="00B57A1C">
        <w:t>Wb</w:t>
      </w:r>
      <w:proofErr w:type="spellEnd"/>
      <w:r w:rsidRPr="00B57A1C">
        <w:t>/m2” or “</w:t>
      </w:r>
      <w:proofErr w:type="spellStart"/>
      <w:r w:rsidRPr="00B57A1C">
        <w:t>webers</w:t>
      </w:r>
      <w:proofErr w:type="spellEnd"/>
      <w:r w:rsidRPr="00B57A1C">
        <w:t xml:space="preserve"> per square meter”, not “</w:t>
      </w:r>
      <w:proofErr w:type="spellStart"/>
      <w:r w:rsidRPr="00B57A1C">
        <w:t>webers</w:t>
      </w:r>
      <w:proofErr w:type="spellEnd"/>
      <w:r w:rsidRPr="00B57A1C">
        <w:t xml:space="preserve">/m2”.  Spell out units when they appear in text: “. . . a few </w:t>
      </w:r>
      <w:proofErr w:type="spellStart"/>
      <w:r w:rsidRPr="00B57A1C">
        <w:t>henries</w:t>
      </w:r>
      <w:proofErr w:type="spellEnd"/>
      <w:r w:rsidRPr="00B57A1C">
        <w:t>”, not “. . . a few H”.</w:t>
      </w:r>
    </w:p>
    <w:p w:rsidR="00ED13D6" w:rsidRPr="00B57A1C" w:rsidRDefault="00ED13D6" w:rsidP="00B57A1C">
      <w:pPr>
        <w:pStyle w:val="bulletlist"/>
      </w:pPr>
      <w:r w:rsidRPr="00B57A1C">
        <w:t>Use a zero before decimal points: “0.25”, not “.25”. Use “cm3”, not “cc”. (</w:t>
      </w:r>
      <w:r w:rsidRPr="00E02BE6">
        <w:t>bullet list</w:t>
      </w:r>
      <w:r w:rsidRPr="00B57A1C">
        <w:t>)</w:t>
      </w:r>
    </w:p>
    <w:p w:rsidR="00ED13D6" w:rsidRPr="00E02BE6" w:rsidRDefault="00ED13D6">
      <w:pPr>
        <w:pStyle w:val="Ttulo21"/>
      </w:pPr>
      <w:r w:rsidRPr="00E02BE6">
        <w:t>Equations</w:t>
      </w:r>
    </w:p>
    <w:p w:rsidR="00ED13D6" w:rsidRPr="00E02BE6" w:rsidRDefault="00ED13D6">
      <w:pPr>
        <w:pStyle w:val="Textoindependiente"/>
      </w:pPr>
      <w:r w:rsidRPr="00E02BE6">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rsidR="00ED13D6" w:rsidRPr="00B57A1C" w:rsidRDefault="00ED13D6" w:rsidP="00B57A1C">
      <w:pPr>
        <w:pStyle w:val="Textoindependiente"/>
      </w:pPr>
      <w:r w:rsidRPr="00B57A1C">
        <w:t xml:space="preserve">Number equations consecutively. Equation numbers, within parentheses, are to position flush right, as in (1), using a right tab stop. To make your equations more compact, you may use the solidus ( / ), the </w:t>
      </w:r>
      <w:proofErr w:type="spellStart"/>
      <w:r w:rsidRPr="00B57A1C">
        <w:t>exp</w:t>
      </w:r>
      <w:proofErr w:type="spellEnd"/>
      <w:r w:rsidRPr="00B57A1C">
        <w:t xml:space="preserve"> function, or appropriate exponents. Italicize Roman symbols for quantities and variables, but not Greek symbols. Use a long dash rather than a hyphen for a minus sign. Punctuate equations with commas or periods when they are part of a sentence, as in</w:t>
      </w:r>
    </w:p>
    <w:p w:rsidR="00ED13D6" w:rsidRPr="00E02BE6" w:rsidRDefault="00ED13D6">
      <w:pPr>
        <w:pStyle w:val="equation"/>
      </w:pPr>
      <w:r w:rsidRPr="00E02BE6">
        <w:tab/>
      </w:r>
      <w:r>
        <w:t></w:t>
      </w:r>
      <w:r>
        <w:t></w:t>
      </w:r>
      <w:r>
        <w:t></w:t>
      </w:r>
      <w:r>
        <w:t></w:t>
      </w:r>
      <w:r>
        <w:t></w:t>
      </w:r>
      <w:r>
        <w:t></w:t>
      </w:r>
      <w:r>
        <w:t></w:t>
      </w:r>
      <w:r>
        <w:t></w:t>
      </w:r>
      <w:r>
        <w:t></w:t>
      </w:r>
      <w:r>
        <w:t></w:t>
      </w:r>
      <w:r>
        <w:t></w:t>
      </w:r>
      <w:r>
        <w:t></w:t>
      </w:r>
      <w:r>
        <w:tab/>
      </w:r>
      <w:r>
        <w:t></w:t>
      </w:r>
      <w:r>
        <w:t></w:t>
      </w:r>
      <w:r>
        <w:t></w:t>
      </w:r>
      <w:r>
        <w:tab/>
      </w:r>
      <w:r>
        <w:tab/>
      </w:r>
      <w:r>
        <w:t></w:t>
      </w:r>
      <w:r>
        <w:t></w:t>
      </w:r>
      <w:r>
        <w:t></w:t>
      </w:r>
      <w:r>
        <w:t></w:t>
      </w:r>
      <w:r>
        <w:t></w:t>
      </w:r>
      <w:r>
        <w:t></w:t>
      </w:r>
      <w:r>
        <w:t></w:t>
      </w:r>
      <w:r>
        <w:t></w:t>
      </w:r>
      <w:r>
        <w:t></w:t>
      </w:r>
      <w:r>
        <w:t></w:t>
      </w:r>
      <w:r>
        <w:t></w:t>
      </w:r>
      <w:r>
        <w:t></w:t>
      </w:r>
      <w:r>
        <w:tab/>
      </w:r>
      <w:r>
        <w:t></w:t>
      </w:r>
      <w:r>
        <w:t></w:t>
      </w:r>
      <w:r>
        <w:t></w:t>
      </w:r>
      <w:r>
        <w:tab/>
      </w:r>
      <w:r>
        <w:t></w:t>
      </w:r>
      <w:r>
        <w:t></w:t>
      </w:r>
      <w:r>
        <w:t></w:t>
      </w:r>
    </w:p>
    <w:p w:rsidR="00ED13D6" w:rsidRDefault="00ED13D6" w:rsidP="00B57A1C">
      <w:pPr>
        <w:pStyle w:val="Textoindependiente"/>
      </w:pPr>
      <w:r>
        <w:t>Note that the equation is centered using a center tab stop. Be sure that the symbols in your equation have been defined before or immediately following the equation. Use “(1)”, not “Eq. (1)” or “equation (1)”, except at the beginning of a sentence: “Equation (1) is . . .”</w:t>
      </w:r>
    </w:p>
    <w:p w:rsidR="00ED13D6" w:rsidRDefault="00ED13D6" w:rsidP="00B57A1C">
      <w:pPr>
        <w:pStyle w:val="Ttulo21"/>
      </w:pPr>
      <w:r w:rsidRPr="00B57A1C">
        <w:t>Some</w:t>
      </w:r>
      <w:r>
        <w:t xml:space="preserve"> Common Mistakes</w:t>
      </w:r>
    </w:p>
    <w:p w:rsidR="00ED13D6" w:rsidRPr="00B57A1C" w:rsidRDefault="00ED13D6" w:rsidP="00B57A1C">
      <w:pPr>
        <w:pStyle w:val="bulletlist"/>
      </w:pPr>
      <w:r w:rsidRPr="00B57A1C">
        <w:t>The word “data” is plural, not singular.</w:t>
      </w:r>
    </w:p>
    <w:p w:rsidR="00ED13D6" w:rsidRPr="00B57A1C" w:rsidRDefault="00ED13D6" w:rsidP="00B57A1C">
      <w:pPr>
        <w:pStyle w:val="bulletlist"/>
      </w:pPr>
      <w:r w:rsidRPr="00B57A1C">
        <w:t xml:space="preserve">The subscript for the permeability of vacuum </w:t>
      </w:r>
      <w:r w:rsidRPr="00B57A1C">
        <w:t>0, and other common scientific constants, is zero with subscript formatting, not a lowercase letter “o”.</w:t>
      </w:r>
    </w:p>
    <w:p w:rsidR="00ED13D6" w:rsidRPr="00B57A1C" w:rsidRDefault="00ED13D6" w:rsidP="00B57A1C">
      <w:pPr>
        <w:pStyle w:val="bulletlist"/>
      </w:pPr>
      <w:r w:rsidRPr="00B57A1C">
        <w:t>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ED13D6" w:rsidRPr="00B57A1C" w:rsidRDefault="00ED13D6" w:rsidP="00B57A1C">
      <w:pPr>
        <w:pStyle w:val="bulletlist"/>
      </w:pPr>
      <w:r w:rsidRPr="00B57A1C">
        <w:t>A graph within a graph is an “inset”, not an “insert”. The word alternatively is preferred to the word “alternately” (unless you really mean something that alternates).</w:t>
      </w:r>
    </w:p>
    <w:p w:rsidR="00ED13D6" w:rsidRPr="00B57A1C" w:rsidRDefault="00ED13D6" w:rsidP="00B57A1C">
      <w:pPr>
        <w:pStyle w:val="bulletlist"/>
      </w:pPr>
      <w:r w:rsidRPr="00B57A1C">
        <w:t>Do not use the word “essentially” to mean “approximately” or “effectively”.</w:t>
      </w:r>
    </w:p>
    <w:p w:rsidR="00ED13D6" w:rsidRPr="00B57A1C" w:rsidRDefault="00ED13D6" w:rsidP="00B57A1C">
      <w:pPr>
        <w:pStyle w:val="bulletlist"/>
      </w:pPr>
      <w:r w:rsidRPr="00B57A1C">
        <w:lastRenderedPageBreak/>
        <w:t>In your paper title, if the words “that uses” can accurately replace the word “using”, capitalize the “u”; if not, keep using lower-cased.</w:t>
      </w:r>
    </w:p>
    <w:p w:rsidR="00ED13D6" w:rsidRPr="00B57A1C" w:rsidRDefault="00ED13D6" w:rsidP="00B57A1C">
      <w:pPr>
        <w:pStyle w:val="bulletlist"/>
      </w:pPr>
      <w:r w:rsidRPr="00B57A1C">
        <w:t>Be aware of the different meanings of the homophones “affect” and “effect”, “complement” and “compliment”, “discreet” and “discrete”, “principal” and “principle”.</w:t>
      </w:r>
    </w:p>
    <w:p w:rsidR="00ED13D6" w:rsidRPr="00B57A1C" w:rsidRDefault="00ED13D6" w:rsidP="00B57A1C">
      <w:pPr>
        <w:pStyle w:val="bulletlist"/>
      </w:pPr>
      <w:r w:rsidRPr="00B57A1C">
        <w:t>Do not confuse “imply” and “infer”.</w:t>
      </w:r>
    </w:p>
    <w:p w:rsidR="00ED13D6" w:rsidRPr="00B57A1C" w:rsidRDefault="00ED13D6" w:rsidP="00B57A1C">
      <w:pPr>
        <w:pStyle w:val="bulletlist"/>
      </w:pPr>
      <w:r w:rsidRPr="00B57A1C">
        <w:t>The prefix “non” is not a word; it should be joined to the word it modifies, usually without a hyphen.</w:t>
      </w:r>
    </w:p>
    <w:p w:rsidR="00ED13D6" w:rsidRPr="00B57A1C" w:rsidRDefault="00ED13D6" w:rsidP="00B57A1C">
      <w:pPr>
        <w:pStyle w:val="bulletlist"/>
      </w:pPr>
      <w:r w:rsidRPr="00B57A1C">
        <w:t>There is no period after the “et” in the Latin abbreviation “et al.”.</w:t>
      </w:r>
    </w:p>
    <w:p w:rsidR="00ED13D6" w:rsidRPr="00B57A1C" w:rsidRDefault="00ED13D6" w:rsidP="00B57A1C">
      <w:pPr>
        <w:pStyle w:val="bulletlist"/>
      </w:pPr>
      <w:r w:rsidRPr="00B57A1C">
        <w:t>The abbreviation “i.e.” means “that is”, and the abbreviation “e.g.” means “for example”.</w:t>
      </w:r>
    </w:p>
    <w:p w:rsidR="00ED13D6" w:rsidRDefault="00ED13D6" w:rsidP="00B57A1C">
      <w:pPr>
        <w:pStyle w:val="Textoindependiente"/>
      </w:pPr>
      <w:r>
        <w:t xml:space="preserve">An excellent style manual for science </w:t>
      </w:r>
      <w:r w:rsidRPr="00B57A1C">
        <w:t>writers</w:t>
      </w:r>
      <w:r>
        <w:t xml:space="preserve"> is [7].</w:t>
      </w:r>
    </w:p>
    <w:p w:rsidR="00ED13D6" w:rsidRDefault="00ED13D6" w:rsidP="00B57A1C">
      <w:pPr>
        <w:pStyle w:val="Ttulo11"/>
      </w:pPr>
      <w:r>
        <w:t>Using the Template</w:t>
      </w:r>
    </w:p>
    <w:p w:rsidR="00ED13D6" w:rsidRPr="00B57A1C" w:rsidRDefault="00ED13D6" w:rsidP="00B57A1C">
      <w:pPr>
        <w:pStyle w:val="Textoindependiente"/>
      </w:pPr>
      <w:r w:rsidRPr="00B57A1C">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ED13D6" w:rsidRDefault="00ED13D6" w:rsidP="00B57A1C">
      <w:pPr>
        <w:pStyle w:val="Ttulo21"/>
      </w:pPr>
      <w:r>
        <w:t>Authors and Affiliations</w:t>
      </w:r>
    </w:p>
    <w:p w:rsidR="00ED13D6" w:rsidRPr="00B57A1C" w:rsidRDefault="00ED13D6" w:rsidP="00B57A1C">
      <w:pPr>
        <w:pStyle w:val="Textoindependiente"/>
      </w:pPr>
      <w:r w:rsidRPr="00B57A1C">
        <w:t>The template is designed so that author affiliations are not repeated each time for multiple authors of the same affiliation. Please keep your affiliations as succinct as possible (for example, do not differentiate among departments of the same organization). This template was designed for two affiliations.</w:t>
      </w:r>
    </w:p>
    <w:p w:rsidR="00ED13D6" w:rsidRPr="00B57A1C" w:rsidRDefault="00ED13D6" w:rsidP="00B57A1C">
      <w:pPr>
        <w:pStyle w:val="Ttulo31"/>
      </w:pPr>
      <w:r w:rsidRPr="00B57A1C">
        <w:t xml:space="preserve">For author/s of only one affiliation (Heading 3): </w:t>
      </w:r>
      <w:r w:rsidRPr="00E02BE6">
        <w:t>To change the default, adjust the template as follows.</w:t>
      </w:r>
    </w:p>
    <w:p w:rsidR="00ED13D6" w:rsidRPr="00E02BE6" w:rsidRDefault="00ED13D6" w:rsidP="00B57A1C">
      <w:pPr>
        <w:pStyle w:val="Ttulo41"/>
      </w:pPr>
      <w:r w:rsidRPr="00E02BE6">
        <w:t xml:space="preserve">Selection (Heading 4): </w:t>
      </w:r>
      <w:r w:rsidRPr="00B57A1C">
        <w:t>Highlight all author and affiliation lines.</w:t>
      </w:r>
    </w:p>
    <w:p w:rsidR="00ED13D6" w:rsidRPr="00E02BE6" w:rsidRDefault="00ED13D6" w:rsidP="00B57A1C">
      <w:pPr>
        <w:pStyle w:val="Ttulo41"/>
      </w:pPr>
      <w:r>
        <w:t>Change number of columns:</w:t>
      </w:r>
      <w:r w:rsidRPr="00E02BE6">
        <w:t xml:space="preserve"> </w:t>
      </w:r>
      <w:r w:rsidRPr="00B57A1C">
        <w:rPr>
          <w:i w:val="0"/>
          <w:iCs w:val="0"/>
          <w:spacing w:val="-1"/>
        </w:rPr>
        <w:t>Select the Columns icon from the MS Word Standard toolbar and then select “1 Column” from the selection palette.</w:t>
      </w:r>
    </w:p>
    <w:p w:rsidR="00ED13D6" w:rsidRPr="00E02BE6" w:rsidRDefault="00ED13D6" w:rsidP="00B57A1C">
      <w:pPr>
        <w:pStyle w:val="Ttulo41"/>
      </w:pPr>
      <w:r w:rsidRPr="00E02BE6">
        <w:t xml:space="preserve">Deletion: </w:t>
      </w:r>
      <w:r w:rsidRPr="00B57A1C">
        <w:rPr>
          <w:i w:val="0"/>
          <w:iCs w:val="0"/>
          <w:spacing w:val="-1"/>
        </w:rPr>
        <w:t>Delete the author and affiliation lines for the second affiliation.</w:t>
      </w:r>
    </w:p>
    <w:p w:rsidR="00ED13D6" w:rsidRPr="00E02BE6" w:rsidRDefault="00ED13D6" w:rsidP="00B57A1C">
      <w:pPr>
        <w:pStyle w:val="Ttulo41"/>
      </w:pPr>
      <w:r w:rsidRPr="00E02BE6">
        <w:t>For author/s of more than two affiliations: To change the default, adjust the template as follows.</w:t>
      </w:r>
    </w:p>
    <w:p w:rsidR="00ED13D6" w:rsidRPr="00E02BE6" w:rsidRDefault="00ED13D6" w:rsidP="00B57A1C">
      <w:pPr>
        <w:pStyle w:val="Ttulo41"/>
      </w:pPr>
      <w:r w:rsidRPr="00E02BE6">
        <w:t xml:space="preserve">Selection: </w:t>
      </w:r>
      <w:r w:rsidRPr="00B57A1C">
        <w:rPr>
          <w:i w:val="0"/>
          <w:iCs w:val="0"/>
          <w:spacing w:val="-1"/>
        </w:rPr>
        <w:t>Highlight all author and affiliation lines.</w:t>
      </w:r>
    </w:p>
    <w:p w:rsidR="00ED13D6" w:rsidRPr="00B57A1C" w:rsidRDefault="00ED13D6" w:rsidP="00B57A1C">
      <w:pPr>
        <w:pStyle w:val="Ttulo41"/>
      </w:pPr>
      <w:r w:rsidRPr="00E02BE6">
        <w:t>Change number of columns</w:t>
      </w:r>
      <w:r w:rsidRPr="00B57A1C">
        <w:t xml:space="preserve">: </w:t>
      </w:r>
      <w:r w:rsidRPr="00B57A1C">
        <w:rPr>
          <w:i w:val="0"/>
          <w:iCs w:val="0"/>
          <w:spacing w:val="-1"/>
        </w:rPr>
        <w:t>Select the “Columns” icon from the MS Word Standard toolbar and then select “1 Column” from the selection palette.</w:t>
      </w:r>
    </w:p>
    <w:p w:rsidR="00ED13D6" w:rsidRPr="00E02BE6" w:rsidRDefault="00ED13D6" w:rsidP="00B57A1C">
      <w:pPr>
        <w:pStyle w:val="Ttulo41"/>
      </w:pPr>
      <w:r w:rsidRPr="00E02BE6">
        <w:t>Highlight author and affiliation lines of affiliation 1 and copy this selection.</w:t>
      </w:r>
    </w:p>
    <w:p w:rsidR="00ED13D6" w:rsidRPr="00E02BE6" w:rsidRDefault="00ED13D6" w:rsidP="00B57A1C">
      <w:pPr>
        <w:pStyle w:val="Ttulo41"/>
      </w:pPr>
      <w:r w:rsidRPr="00E02BE6">
        <w:t xml:space="preserve">Formatting: </w:t>
      </w:r>
      <w:r w:rsidRPr="00B57A1C">
        <w:rPr>
          <w:i w:val="0"/>
          <w:iCs w:val="0"/>
          <w:spacing w:val="-1"/>
        </w:rPr>
        <w:t>Insert one hard return immediately after the last character of the last affiliation line. Then paste down the copy of affiliation 1. Repeat as necessary for each additional affiliation.</w:t>
      </w:r>
    </w:p>
    <w:p w:rsidR="00ED13D6" w:rsidRPr="00E02BE6" w:rsidRDefault="00ED13D6" w:rsidP="00B57A1C">
      <w:pPr>
        <w:pStyle w:val="Ttulo41"/>
      </w:pPr>
      <w:r w:rsidRPr="00E02BE6">
        <w:lastRenderedPageBreak/>
        <w:t xml:space="preserve">Reassign number of columns: </w:t>
      </w:r>
      <w:r w:rsidRPr="00B57A1C">
        <w:rPr>
          <w:i w:val="0"/>
          <w:iCs w:val="0"/>
          <w:spacing w:val="-1"/>
        </w:rPr>
        <w:t>Place your cursor to the right of the last character of the last affiliation line of an even numbered affiliation (e.g., if there are five affiliations, place your cursor at end of fourth affiliation). Drag the cursor up to highlight all of the above author and affiliation lines. Go to Column icon and select “2 Columns”. If you have an odd number of affiliations, the final affiliation will be centered on the page; all previous will be in two columns.</w:t>
      </w:r>
    </w:p>
    <w:p w:rsidR="00ED13D6" w:rsidRDefault="00ED13D6" w:rsidP="00B57A1C">
      <w:pPr>
        <w:pStyle w:val="Ttulo21"/>
      </w:pPr>
      <w:r>
        <w:t>Identify the Headings</w:t>
      </w:r>
    </w:p>
    <w:p w:rsidR="00ED13D6" w:rsidRDefault="00ED13D6" w:rsidP="00B57A1C">
      <w:pPr>
        <w:pStyle w:val="Textoindependiente"/>
      </w:pPr>
      <w:r>
        <w:t>Headings, or heads, are organizational devices that guide the reader through your paper. There are two types: component heads and text heads.</w:t>
      </w:r>
    </w:p>
    <w:p w:rsidR="00ED13D6" w:rsidRDefault="00ED13D6" w:rsidP="00B57A1C">
      <w:pPr>
        <w:pStyle w:val="Textoindependiente"/>
      </w:pPr>
      <w:r>
        <w:t xml:space="preserve">Component heads identify the different components of your paper and are not topically subordinate to each other. Examples include </w:t>
      </w:r>
      <w:r w:rsidRPr="00B57A1C">
        <w:t>Acknowledgments</w:t>
      </w:r>
      <w:r>
        <w:t xml:space="preserve"> and </w:t>
      </w:r>
      <w:r w:rsidRPr="00B57A1C">
        <w:t xml:space="preserve">References </w:t>
      </w:r>
      <w:r>
        <w:t>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rsidR="00ED13D6" w:rsidRDefault="00ED13D6" w:rsidP="00B57A1C">
      <w:pPr>
        <w:pStyle w:val="Textoindependiente"/>
      </w:pPr>
      <w:r>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ED13D6" w:rsidRDefault="00ED13D6" w:rsidP="00B57A1C">
      <w:pPr>
        <w:pStyle w:val="Ttulo21"/>
      </w:pPr>
      <w:r>
        <w:t>Figures and Tables</w:t>
      </w:r>
    </w:p>
    <w:p w:rsidR="00ED13D6" w:rsidRDefault="00ED13D6">
      <w:pPr>
        <w:pStyle w:val="Ttulo31"/>
      </w:pPr>
      <w:r w:rsidRPr="00E02BE6">
        <w:t xml:space="preserve">Positioning Figures and Tables: </w:t>
      </w:r>
      <w:r>
        <w:rPr>
          <w:i w:val="0"/>
          <w:iCs w:val="0"/>
          <w:noProof w:val="0"/>
          <w:spacing w:val="-1"/>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rsidR="00ED13D6" w:rsidRPr="00E02BE6" w:rsidRDefault="00ED13D6">
      <w:pPr>
        <w:pStyle w:val="tablehead"/>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ED13D6">
        <w:trPr>
          <w:cantSplit/>
          <w:trHeight w:val="240"/>
          <w:tblHeader/>
          <w:jc w:val="center"/>
        </w:trPr>
        <w:tc>
          <w:tcPr>
            <w:tcW w:w="720" w:type="dxa"/>
            <w:vMerge w:val="restart"/>
            <w:vAlign w:val="center"/>
          </w:tcPr>
          <w:p w:rsidR="00ED13D6" w:rsidRDefault="00ED13D6">
            <w:pPr>
              <w:pStyle w:val="tablecolhead"/>
            </w:pPr>
            <w:r>
              <w:t>Table Head</w:t>
            </w:r>
          </w:p>
        </w:tc>
        <w:tc>
          <w:tcPr>
            <w:tcW w:w="4140" w:type="dxa"/>
            <w:gridSpan w:val="3"/>
            <w:vAlign w:val="center"/>
          </w:tcPr>
          <w:p w:rsidR="00ED13D6" w:rsidRDefault="00ED13D6">
            <w:pPr>
              <w:pStyle w:val="tablecolhead"/>
            </w:pPr>
            <w:r>
              <w:t>Table Column Head</w:t>
            </w:r>
          </w:p>
        </w:tc>
      </w:tr>
      <w:tr w:rsidR="00ED13D6">
        <w:trPr>
          <w:cantSplit/>
          <w:trHeight w:val="240"/>
          <w:tblHeader/>
          <w:jc w:val="center"/>
        </w:trPr>
        <w:tc>
          <w:tcPr>
            <w:tcW w:w="720" w:type="dxa"/>
            <w:vMerge/>
          </w:tcPr>
          <w:p w:rsidR="00ED13D6" w:rsidRDefault="00ED13D6">
            <w:pPr>
              <w:rPr>
                <w:sz w:val="16"/>
                <w:szCs w:val="16"/>
              </w:rPr>
            </w:pPr>
          </w:p>
        </w:tc>
        <w:tc>
          <w:tcPr>
            <w:tcW w:w="2340" w:type="dxa"/>
            <w:vAlign w:val="center"/>
          </w:tcPr>
          <w:p w:rsidR="00ED13D6" w:rsidRDefault="00ED13D6">
            <w:pPr>
              <w:pStyle w:val="tablecolsubhead"/>
            </w:pPr>
            <w:r>
              <w:t>Table column subhead</w:t>
            </w:r>
          </w:p>
        </w:tc>
        <w:tc>
          <w:tcPr>
            <w:tcW w:w="900" w:type="dxa"/>
            <w:vAlign w:val="center"/>
          </w:tcPr>
          <w:p w:rsidR="00ED13D6" w:rsidRDefault="00ED13D6">
            <w:pPr>
              <w:pStyle w:val="tablecolsubhead"/>
            </w:pPr>
            <w:r>
              <w:t>Subhead</w:t>
            </w:r>
          </w:p>
        </w:tc>
        <w:tc>
          <w:tcPr>
            <w:tcW w:w="900" w:type="dxa"/>
            <w:vAlign w:val="center"/>
          </w:tcPr>
          <w:p w:rsidR="00ED13D6" w:rsidRDefault="00ED13D6">
            <w:pPr>
              <w:pStyle w:val="tablecolsubhead"/>
            </w:pPr>
            <w:r>
              <w:t>Subhead</w:t>
            </w:r>
          </w:p>
        </w:tc>
      </w:tr>
      <w:tr w:rsidR="00ED13D6">
        <w:trPr>
          <w:trHeight w:val="320"/>
          <w:jc w:val="center"/>
        </w:trPr>
        <w:tc>
          <w:tcPr>
            <w:tcW w:w="720" w:type="dxa"/>
            <w:vAlign w:val="center"/>
          </w:tcPr>
          <w:p w:rsidR="00ED13D6" w:rsidRDefault="00ED13D6">
            <w:pPr>
              <w:pStyle w:val="tablecopy"/>
              <w:rPr>
                <w:sz w:val="8"/>
                <w:szCs w:val="8"/>
              </w:rPr>
            </w:pPr>
            <w:r>
              <w:t>copy</w:t>
            </w:r>
          </w:p>
        </w:tc>
        <w:tc>
          <w:tcPr>
            <w:tcW w:w="2340" w:type="dxa"/>
            <w:vAlign w:val="center"/>
          </w:tcPr>
          <w:p w:rsidR="00ED13D6" w:rsidRDefault="00ED13D6">
            <w:pPr>
              <w:pStyle w:val="tablecopy"/>
            </w:pPr>
            <w:r>
              <w:t>More table copy</w:t>
            </w:r>
            <w:r>
              <w:rPr>
                <w:vertAlign w:val="superscript"/>
              </w:rPr>
              <w:t>a</w:t>
            </w:r>
          </w:p>
        </w:tc>
        <w:tc>
          <w:tcPr>
            <w:tcW w:w="900" w:type="dxa"/>
            <w:vAlign w:val="center"/>
          </w:tcPr>
          <w:p w:rsidR="00ED13D6" w:rsidRDefault="00ED13D6">
            <w:pPr>
              <w:rPr>
                <w:sz w:val="16"/>
                <w:szCs w:val="16"/>
              </w:rPr>
            </w:pPr>
          </w:p>
        </w:tc>
        <w:tc>
          <w:tcPr>
            <w:tcW w:w="900" w:type="dxa"/>
            <w:vAlign w:val="center"/>
          </w:tcPr>
          <w:p w:rsidR="00ED13D6" w:rsidRDefault="00ED13D6">
            <w:pPr>
              <w:rPr>
                <w:sz w:val="16"/>
                <w:szCs w:val="16"/>
              </w:rPr>
            </w:pPr>
          </w:p>
        </w:tc>
      </w:tr>
    </w:tbl>
    <w:p w:rsidR="00ED13D6" w:rsidRPr="00E02BE6" w:rsidRDefault="00ED13D6" w:rsidP="00B57A1C">
      <w:pPr>
        <w:pStyle w:val="tablefootnote"/>
      </w:pPr>
      <w:r>
        <w:t xml:space="preserve">a. Sample of a </w:t>
      </w:r>
      <w:r w:rsidRPr="00B57A1C">
        <w:t>Table</w:t>
      </w:r>
      <w:r>
        <w:t xml:space="preserve"> footnote. </w:t>
      </w:r>
      <w:r w:rsidRPr="00E02BE6">
        <w:t>(Table footnote)</w:t>
      </w:r>
    </w:p>
    <w:p w:rsidR="00ED13D6" w:rsidRPr="00E02BE6" w:rsidRDefault="00ED13D6" w:rsidP="00E02BE6">
      <w:pPr>
        <w:pStyle w:val="tablefootnote"/>
      </w:pPr>
    </w:p>
    <w:p w:rsidR="002D7F54" w:rsidRDefault="002D7F54" w:rsidP="002D7F54">
      <w:pPr>
        <w:rPr>
          <w:lang w:val="pt-PT"/>
        </w:rPr>
      </w:pPr>
      <w:r>
        <w:rPr>
          <w:noProof/>
        </w:rPr>
        <w:lastRenderedPageBreak/>
        <w:drawing>
          <wp:inline distT="0" distB="0" distL="0" distR="0" wp14:anchorId="50E6F82B" wp14:editId="47CB64BC">
            <wp:extent cx="3045349" cy="1995778"/>
            <wp:effectExtent l="0" t="0" r="22225" b="2413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ED13D6" w:rsidRDefault="00AD5EC7" w:rsidP="00B57A1C">
      <w:pPr>
        <w:pStyle w:val="figurecaption"/>
      </w:pPr>
      <w:r>
        <w:t>Example of a figure caption.</w:t>
      </w:r>
    </w:p>
    <w:p w:rsidR="00ED13D6" w:rsidRDefault="00ED13D6">
      <w:pPr>
        <w:pStyle w:val="Textoindependiente"/>
      </w:pPr>
      <w:r w:rsidRPr="00B57A1C">
        <w:t>Figure Labels: Use 8 point Times New Roman for Figure labels. Use words rather than symbols or abbreviations when writing Figure axis labels to avoid confusing the reader. As an</w:t>
      </w:r>
      <w:r w:rsidRPr="00E02BE6">
        <w:t xml:space="preserve"> </w:t>
      </w:r>
      <w:r w:rsidRPr="00B57A1C">
        <w:t>example, write the quantity “Magnetization”, or “Magnetization, M”, not just “M”. If including units in the label, present them within parentheses. Do not label axes only with units. In the example, write “Magnetization (A/m)” or “Magnetization {A[m(1)]}”, not just “A/m”. Do not label axes with a ratio of quantities and units. For example, write “Temperature (K)”, not “Temperature/K”.</w:t>
      </w:r>
    </w:p>
    <w:p w:rsidR="002D7F54" w:rsidRDefault="000F1CAE" w:rsidP="002D7F54">
      <w:pPr>
        <w:pStyle w:val="figurecaption"/>
        <w:numPr>
          <w:ilvl w:val="0"/>
          <w:numId w:val="0"/>
        </w:numPr>
      </w:pPr>
      <w:r>
        <w:drawing>
          <wp:inline distT="0" distB="0" distL="0" distR="0">
            <wp:extent cx="3058907" cy="455295"/>
            <wp:effectExtent l="0" t="0" r="0" b="190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1.png"/>
                    <pic:cNvPicPr/>
                  </pic:nvPicPr>
                  <pic:blipFill>
                    <a:blip r:embed="rId6">
                      <a:extLst>
                        <a:ext uri="{28A0092B-C50C-407E-A947-70E740481C1C}">
                          <a14:useLocalDpi xmlns:a14="http://schemas.microsoft.com/office/drawing/2010/main" val="0"/>
                        </a:ext>
                      </a:extLst>
                    </a:blip>
                    <a:stretch>
                      <a:fillRect/>
                    </a:stretch>
                  </pic:blipFill>
                  <pic:spPr>
                    <a:xfrm>
                      <a:off x="0" y="0"/>
                      <a:ext cx="3069622" cy="456890"/>
                    </a:xfrm>
                    <a:prstGeom prst="rect">
                      <a:avLst/>
                    </a:prstGeom>
                  </pic:spPr>
                </pic:pic>
              </a:graphicData>
            </a:graphic>
          </wp:inline>
        </w:drawing>
      </w:r>
    </w:p>
    <w:p w:rsidR="002D7F54" w:rsidRDefault="00AD5EC7" w:rsidP="002D7F54">
      <w:pPr>
        <w:pStyle w:val="figurecaption"/>
      </w:pPr>
      <w:r>
        <w:t>Example of a figure caption.</w:t>
      </w:r>
    </w:p>
    <w:p w:rsidR="00C610A8" w:rsidRDefault="00C610A8" w:rsidP="00C610A8">
      <w:pPr>
        <w:pStyle w:val="Ttulo11"/>
      </w:pPr>
      <w:r>
        <w:t>Conclusions</w:t>
      </w:r>
    </w:p>
    <w:p w:rsidR="00C610A8" w:rsidRPr="00C610A8" w:rsidRDefault="00C610A8" w:rsidP="00C610A8">
      <w:pPr>
        <w:pStyle w:val="Textoindependiente"/>
      </w:pPr>
      <w:r w:rsidRPr="00C610A8">
        <w:t xml:space="preserve">The IEEE </w:t>
      </w:r>
      <w:r>
        <w:t xml:space="preserve">template, </w:t>
      </w:r>
      <w:r w:rsidRPr="00C610A8">
        <w:t>as other</w:t>
      </w:r>
      <w:r>
        <w:t xml:space="preserve"> similar</w:t>
      </w:r>
      <w:r w:rsidRPr="00C610A8">
        <w:t xml:space="preserve"> templates</w:t>
      </w:r>
      <w:r>
        <w:t>,</w:t>
      </w:r>
      <w:r w:rsidRPr="00C610A8">
        <w:t xml:space="preserve"> makes it easier the editing tasks for publishing </w:t>
      </w:r>
      <w:r>
        <w:t>s</w:t>
      </w:r>
      <w:r w:rsidRPr="00C610A8">
        <w:t>cientific proceedings and other scientific material. U</w:t>
      </w:r>
      <w:r>
        <w:t xml:space="preserve">se it correctly in the writing of your paper so that you may have an excellent work that may contribute to the success of our conference. </w:t>
      </w:r>
    </w:p>
    <w:p w:rsidR="00ED13D6" w:rsidRDefault="00ED13D6" w:rsidP="00B57A1C">
      <w:pPr>
        <w:pStyle w:val="Ttulo51"/>
      </w:pPr>
      <w:r w:rsidRPr="00B57A1C">
        <w:t>Acknowledgment</w:t>
      </w:r>
      <w:r>
        <w:t xml:space="preserve"> </w:t>
      </w:r>
      <w:r w:rsidRPr="00B57A1C">
        <w:t>(Heading 5)</w:t>
      </w:r>
    </w:p>
    <w:p w:rsidR="00ED13D6" w:rsidRPr="00B57A1C" w:rsidRDefault="00ED13D6" w:rsidP="00B57A1C">
      <w:pPr>
        <w:pStyle w:val="Textoindependiente"/>
      </w:pPr>
      <w:r w:rsidRPr="00B57A1C">
        <w:t xml:space="preserve">The preferred spelling of the word “acknowledgment” in </w:t>
      </w:r>
      <w:smartTag w:uri="urn:schemas-microsoft-com:office:smarttags" w:element="State">
        <w:smartTag w:uri="urn:schemas-microsoft-com:office:smarttags" w:element="place">
          <w:smartTag w:uri="urn:schemas-microsoft-com:office:smarttags" w:element="country-region">
            <w:r w:rsidRPr="00B57A1C">
              <w:t>America</w:t>
            </w:r>
          </w:smartTag>
        </w:smartTag>
      </w:smartTag>
      <w:r w:rsidRPr="00B57A1C">
        <w:t xml:space="preserve"> is without an “e” after the “g”. Avoid the stilted expression, “One of us (R. B. G.) thanks . . .”  Instead, try “R. B. G. thanks”. Put sponsor acknowledgments in the </w:t>
      </w:r>
      <w:proofErr w:type="spellStart"/>
      <w:r w:rsidRPr="00B57A1C">
        <w:t>unnum-bered</w:t>
      </w:r>
      <w:proofErr w:type="spellEnd"/>
      <w:r w:rsidRPr="00B57A1C">
        <w:t xml:space="preserve"> footnote on the first page.</w:t>
      </w:r>
    </w:p>
    <w:p w:rsidR="00ED13D6" w:rsidRDefault="00ED13D6" w:rsidP="00B57A1C">
      <w:pPr>
        <w:pStyle w:val="Ttulo51"/>
      </w:pPr>
      <w:r w:rsidRPr="00B57A1C">
        <w:t>References</w:t>
      </w:r>
    </w:p>
    <w:p w:rsidR="00ED13D6" w:rsidRPr="00B57A1C" w:rsidRDefault="00ED13D6" w:rsidP="00B57A1C">
      <w:pPr>
        <w:pStyle w:val="Textoindependiente"/>
      </w:pPr>
      <w:r w:rsidRPr="00B57A1C">
        <w:t>The template will number citations consecutively within brackets [1]. The sentence punctuation follows the bracket [2]. Refer simply to the reference number, as in [3]—do not use “Ref. [3]” or “reference [3]” except at the beginning of a sentence: “Reference [3] was the first . . .”</w:t>
      </w:r>
      <w:r w:rsidR="00AA5D2C">
        <w:t xml:space="preserve">. </w:t>
      </w:r>
      <w:r w:rsidRPr="00B57A1C">
        <w:t>Number footnotes separately in superscripts. Place the actual footnote at the bottom of the column in which it was cited. Do not put footnotes in the reference list. Use letters for table footnotes.</w:t>
      </w:r>
    </w:p>
    <w:p w:rsidR="00ED13D6" w:rsidRPr="00B57A1C" w:rsidRDefault="00ED13D6" w:rsidP="00B57A1C">
      <w:pPr>
        <w:pStyle w:val="Textoindependiente"/>
      </w:pPr>
      <w:r w:rsidRPr="00B57A1C">
        <w:t xml:space="preserve">Unless there are six authors or more give all authors' names; do not use “et al.”. Papers that have not been published, even if they have been submitted for publication, should be </w:t>
      </w:r>
      <w:r w:rsidRPr="00B57A1C">
        <w:lastRenderedPageBreak/>
        <w:t>cited as “unpublished” [4]. Papers that have been accepted for publication should be cited as “in press” [5]. Capitalize only the first word in a paper title, except for proper nouns and element symbols.</w:t>
      </w:r>
    </w:p>
    <w:p w:rsidR="00ED13D6" w:rsidRPr="00E02BE6" w:rsidRDefault="00ED13D6" w:rsidP="00C610A8">
      <w:pPr>
        <w:pStyle w:val="Textoindependiente"/>
      </w:pPr>
      <w:r w:rsidRPr="00B57A1C">
        <w:t>For papers published in translation journals, please give the English citation first, followed by the original foreign-language citation [6].</w:t>
      </w:r>
    </w:p>
    <w:p w:rsidR="00ED13D6" w:rsidRDefault="00ED13D6">
      <w:pPr>
        <w:pStyle w:val="references"/>
      </w:pPr>
      <w:r>
        <w:t xml:space="preserve">G. Eason, B. Noble, and I. N. Sneddon, “On certain integrals of Lipschitz-Hankel type involving products of Bessel functions,” Phil. Trans. Roy. Soc. London, vol. A247, pp. 529–551, April 1955. </w:t>
      </w:r>
      <w:r w:rsidRPr="00E02BE6">
        <w:t>(references)</w:t>
      </w:r>
    </w:p>
    <w:p w:rsidR="00ED13D6" w:rsidRDefault="00ED13D6">
      <w:pPr>
        <w:pStyle w:val="references"/>
      </w:pPr>
      <w:r>
        <w:lastRenderedPageBreak/>
        <w:t xml:space="preserve">J. Clerk Maxwell, A Treatise on Electricity and Magnetism, 3rd ed., vol. 2. </w:t>
      </w:r>
      <w:smartTag w:uri="urn:schemas-microsoft-com:office:smarttags" w:element="State">
        <w:smartTag w:uri="urn:schemas-microsoft-com:office:smarttags" w:element="place">
          <w:smartTag w:uri="urn:schemas-microsoft-com:office:smarttags" w:element="City">
            <w:r>
              <w:t>Oxford</w:t>
            </w:r>
          </w:smartTag>
        </w:smartTag>
      </w:smartTag>
      <w:r>
        <w:t>: Clarendon, 1892, pp.68–73.</w:t>
      </w:r>
    </w:p>
    <w:p w:rsidR="00ED13D6" w:rsidRDefault="00ED13D6">
      <w:pPr>
        <w:pStyle w:val="references"/>
      </w:pPr>
      <w:r>
        <w:t xml:space="preserve">I. S. Jacobs and C. P. Bean, “Fine particles, thin films and exchange anisotropy,” in Magnetism, vol. III, G. T. Rado and H. Suhl, Eds. </w:t>
      </w:r>
      <w:smartTag w:uri="urn:schemas-microsoft-com:office:smarttags" w:element="State">
        <w:smartTag w:uri="urn:schemas-microsoft-com:office:smarttags" w:element="place">
          <w:r>
            <w:t>New York</w:t>
          </w:r>
        </w:smartTag>
      </w:smartTag>
      <w:r>
        <w:t>: Academic, 1963, pp. 271–350.</w:t>
      </w:r>
    </w:p>
    <w:p w:rsidR="00ED13D6" w:rsidRDefault="00ED13D6">
      <w:pPr>
        <w:pStyle w:val="references"/>
      </w:pPr>
      <w:r>
        <w:t>K. Elissa, “Title of paper if known,” unpublished.</w:t>
      </w:r>
    </w:p>
    <w:p w:rsidR="00ED13D6" w:rsidRDefault="00ED13D6">
      <w:pPr>
        <w:pStyle w:val="references"/>
      </w:pPr>
      <w:r>
        <w:t>R. Nicole, “Title of paper with only first word capitalized,” J. Name Stand. Abbrev., in press.</w:t>
      </w:r>
    </w:p>
    <w:p w:rsidR="00ED13D6" w:rsidRDefault="00ED13D6">
      <w:pPr>
        <w:pStyle w:val="references"/>
      </w:pPr>
      <w:r>
        <w:t xml:space="preserve">Y. Yorozu, M. Hirano, K. Oka, and Y. Tagawa, “Electron spectroscopy studies on magneto-optical media and plastic substrate interface,” IEEE Transl. J. Magn. </w:t>
      </w:r>
      <w:smartTag w:uri="urn:schemas-microsoft-com:office:smarttags" w:element="State">
        <w:smartTag w:uri="urn:schemas-microsoft-com:office:smarttags" w:element="country-region">
          <w:r>
            <w:t>Japan</w:t>
          </w:r>
        </w:smartTag>
      </w:smartTag>
      <w:r>
        <w:t xml:space="preserve">, vol. 2, pp. 740–741, August 1987 [Digests 9th Annual Conf. Magnetics </w:t>
      </w:r>
      <w:smartTag w:uri="urn:schemas-microsoft-com:office:smarttags" w:element="State">
        <w:smartTag w:uri="urn:schemas-microsoft-com:office:smarttags" w:element="place">
          <w:smartTag w:uri="urn:schemas-microsoft-com:office:smarttags" w:element="country-region">
            <w:r>
              <w:t>Japan</w:t>
            </w:r>
          </w:smartTag>
        </w:smartTag>
      </w:smartTag>
      <w:r>
        <w:t>, p. 301, 1982].</w:t>
      </w:r>
    </w:p>
    <w:p w:rsidR="00ED13D6" w:rsidRDefault="00ED13D6">
      <w:pPr>
        <w:pStyle w:val="references"/>
      </w:pPr>
      <w:r>
        <w:t xml:space="preserve">M. Young, The Technical Writer's Handbook. </w:t>
      </w:r>
      <w:smartTag w:uri="urn:schemas-microsoft-com:office:smarttags" w:element="State">
        <w:smartTag w:uri="urn:schemas-microsoft-com:office:smarttags" w:element="place">
          <w:smartTag w:uri="urn:schemas-microsoft-com:office:smarttags" w:element="place">
            <w:smartTag w:uri="urn:schemas-microsoft-com:office:smarttags" w:element="City">
              <w:r>
                <w:t>Mill Valley</w:t>
              </w:r>
            </w:smartTag>
          </w:smartTag>
          <w:r>
            <w:t xml:space="preserve">, </w:t>
          </w:r>
          <w:smartTag w:uri="urn:schemas-microsoft-com:office:smarttags" w:element="place">
            <w:r>
              <w:t>CA</w:t>
            </w:r>
          </w:smartTag>
        </w:smartTag>
      </w:smartTag>
      <w:r>
        <w:t>: University Science, 1989.</w:t>
      </w:r>
    </w:p>
    <w:p w:rsidR="00ED13D6" w:rsidRDefault="00ED13D6">
      <w:pPr>
        <w:pStyle w:val="references"/>
        <w:sectPr w:rsidR="00ED13D6">
          <w:type w:val="continuous"/>
          <w:pgSz w:w="11909" w:h="16834" w:code="9"/>
          <w:pgMar w:top="1080" w:right="734" w:bottom="2434" w:left="734" w:header="720" w:footer="720" w:gutter="0"/>
          <w:cols w:num="2" w:space="360"/>
          <w:rtlGutter/>
          <w:docGrid w:linePitch="360"/>
        </w:sectPr>
      </w:pPr>
    </w:p>
    <w:p w:rsidR="00ED13D6" w:rsidRDefault="00ED13D6" w:rsidP="00C610A8">
      <w:pPr>
        <w:spacing w:line="20" w:lineRule="exact"/>
      </w:pPr>
    </w:p>
    <w:sectPr w:rsidR="00ED13D6">
      <w:type w:val="continuous"/>
      <w:pgSz w:w="11909" w:h="16834" w:code="9"/>
      <w:pgMar w:top="1080" w:right="734" w:bottom="2434" w:left="7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4" w15:restartNumberingAfterBreak="0">
    <w:nsid w:val="4189603E"/>
    <w:multiLevelType w:val="multilevel"/>
    <w:tmpl w:val="F3FA876A"/>
    <w:lvl w:ilvl="0">
      <w:start w:val="1"/>
      <w:numFmt w:val="upperRoman"/>
      <w:pStyle w:val="Ttulo1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1"/>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1"/>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1"/>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2"/>
  </w:num>
  <w:num w:numId="2">
    <w:abstractNumId w:val="6"/>
  </w:num>
  <w:num w:numId="3">
    <w:abstractNumId w:val="1"/>
  </w:num>
  <w:num w:numId="4">
    <w:abstractNumId w:val="4"/>
  </w:num>
  <w:num w:numId="5">
    <w:abstractNumId w:val="4"/>
  </w:num>
  <w:num w:numId="6">
    <w:abstractNumId w:val="4"/>
  </w:num>
  <w:num w:numId="7">
    <w:abstractNumId w:val="4"/>
  </w:num>
  <w:num w:numId="8">
    <w:abstractNumId w:val="5"/>
  </w:num>
  <w:num w:numId="9">
    <w:abstractNumId w:val="7"/>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4175"/>
    <w:rsid w:val="0002511E"/>
    <w:rsid w:val="000C6A95"/>
    <w:rsid w:val="000F1CAE"/>
    <w:rsid w:val="00142814"/>
    <w:rsid w:val="0024154D"/>
    <w:rsid w:val="002B6D10"/>
    <w:rsid w:val="002D7F54"/>
    <w:rsid w:val="0032581B"/>
    <w:rsid w:val="00396161"/>
    <w:rsid w:val="00410237"/>
    <w:rsid w:val="004905BF"/>
    <w:rsid w:val="00574EA9"/>
    <w:rsid w:val="006129BD"/>
    <w:rsid w:val="006E19C4"/>
    <w:rsid w:val="007522C5"/>
    <w:rsid w:val="00926F89"/>
    <w:rsid w:val="00927B74"/>
    <w:rsid w:val="0093792D"/>
    <w:rsid w:val="009B36ED"/>
    <w:rsid w:val="00AA5D2C"/>
    <w:rsid w:val="00AD5EC7"/>
    <w:rsid w:val="00B23B47"/>
    <w:rsid w:val="00B57A1C"/>
    <w:rsid w:val="00C27852"/>
    <w:rsid w:val="00C610A8"/>
    <w:rsid w:val="00C94175"/>
    <w:rsid w:val="00C97B98"/>
    <w:rsid w:val="00D14B7B"/>
    <w:rsid w:val="00D530E5"/>
    <w:rsid w:val="00D55A94"/>
    <w:rsid w:val="00D7405C"/>
    <w:rsid w:val="00DB0E6F"/>
    <w:rsid w:val="00E02BE6"/>
    <w:rsid w:val="00ED13D6"/>
    <w:rsid w:val="00FB3E7D"/>
    <w:rsid w:val="00FD17E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State"/>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31ECD12C"/>
  <w15:docId w15:val="{C90ECF0A-A43C-4B21-8250-9CAB58A95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pt-PT" w:eastAsia="pt-PT"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rPr>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11">
    <w:name w:val="Título 11"/>
    <w:basedOn w:val="Normal"/>
    <w:next w:val="Normal"/>
    <w:qFormat/>
    <w:pPr>
      <w:keepNext/>
      <w:keepLines/>
      <w:numPr>
        <w:numId w:val="4"/>
      </w:numPr>
      <w:tabs>
        <w:tab w:val="left" w:pos="216"/>
      </w:tabs>
      <w:spacing w:before="160" w:after="80"/>
      <w:outlineLvl w:val="0"/>
    </w:pPr>
    <w:rPr>
      <w:smallCaps/>
      <w:noProof/>
    </w:rPr>
  </w:style>
  <w:style w:type="paragraph" w:customStyle="1" w:styleId="Ttulo21">
    <w:name w:val="Título 21"/>
    <w:basedOn w:val="Normal"/>
    <w:next w:val="Normal"/>
    <w:qFormat/>
    <w:pPr>
      <w:keepNext/>
      <w:keepLines/>
      <w:numPr>
        <w:ilvl w:val="1"/>
        <w:numId w:val="5"/>
      </w:numPr>
      <w:spacing w:before="120" w:after="60"/>
      <w:jc w:val="left"/>
      <w:outlineLvl w:val="1"/>
    </w:pPr>
    <w:rPr>
      <w:i/>
      <w:iCs/>
      <w:noProof/>
    </w:rPr>
  </w:style>
  <w:style w:type="paragraph" w:customStyle="1" w:styleId="Ttulo31">
    <w:name w:val="Título 31"/>
    <w:basedOn w:val="Normal"/>
    <w:next w:val="Normal"/>
    <w:qFormat/>
    <w:pPr>
      <w:numPr>
        <w:ilvl w:val="2"/>
        <w:numId w:val="6"/>
      </w:numPr>
      <w:spacing w:line="240" w:lineRule="exact"/>
      <w:jc w:val="both"/>
      <w:outlineLvl w:val="2"/>
    </w:pPr>
    <w:rPr>
      <w:i/>
      <w:iCs/>
      <w:noProof/>
    </w:rPr>
  </w:style>
  <w:style w:type="paragraph" w:customStyle="1" w:styleId="Ttulo41">
    <w:name w:val="Título 41"/>
    <w:basedOn w:val="Normal"/>
    <w:next w:val="Normal"/>
    <w:qFormat/>
    <w:pPr>
      <w:numPr>
        <w:ilvl w:val="3"/>
        <w:numId w:val="7"/>
      </w:numPr>
      <w:spacing w:before="40" w:after="40"/>
      <w:jc w:val="both"/>
      <w:outlineLvl w:val="3"/>
    </w:pPr>
    <w:rPr>
      <w:i/>
      <w:iCs/>
      <w:noProof/>
    </w:rPr>
  </w:style>
  <w:style w:type="paragraph" w:customStyle="1" w:styleId="Ttulo51">
    <w:name w:val="Título 51"/>
    <w:basedOn w:val="Normal"/>
    <w:next w:val="Normal"/>
    <w:qFormat/>
    <w:pPr>
      <w:tabs>
        <w:tab w:val="left" w:pos="360"/>
      </w:tabs>
      <w:spacing w:before="160" w:after="80"/>
      <w:outlineLvl w:val="4"/>
    </w:pPr>
    <w:rPr>
      <w:smallCaps/>
      <w:noProof/>
    </w:rPr>
  </w:style>
  <w:style w:type="paragraph" w:customStyle="1" w:styleId="Abstract">
    <w:name w:val="Abstract"/>
    <w:link w:val="AbstractChar"/>
    <w:pPr>
      <w:spacing w:after="200"/>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Textoindependiente">
    <w:name w:val="Body Text"/>
    <w:basedOn w:val="Normal"/>
    <w:pPr>
      <w:spacing w:after="120" w:line="228" w:lineRule="auto"/>
      <w:ind w:firstLine="288"/>
      <w:jc w:val="both"/>
    </w:pPr>
    <w:rPr>
      <w:spacing w:val="-1"/>
    </w:rPr>
  </w:style>
  <w:style w:type="paragraph" w:customStyle="1" w:styleId="bulletlist">
    <w:name w:val="bullet list"/>
    <w:basedOn w:val="Textoindependiente"/>
    <w:pPr>
      <w:numPr>
        <w:numId w:val="1"/>
      </w:numPr>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E02BE6"/>
    <w:pPr>
      <w:numPr>
        <w:numId w:val="2"/>
      </w:numPr>
      <w:spacing w:before="80" w:after="200"/>
      <w:jc w:val="center"/>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keywords">
    <w:name w:val="key words"/>
    <w:pPr>
      <w:spacing w:after="120"/>
      <w:ind w:firstLine="288"/>
      <w:jc w:val="both"/>
    </w:pPr>
    <w:rPr>
      <w:b/>
      <w:bCs/>
      <w:i/>
      <w:iCs/>
      <w:noProof/>
      <w:sz w:val="18"/>
      <w:szCs w:val="18"/>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pPr>
      <w:spacing w:before="60" w:after="30"/>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StyleAbstractItalic">
    <w:name w:val="Style Abstract + Italic"/>
    <w:basedOn w:val="Abstract"/>
    <w:link w:val="StyleAbstractItalicChar"/>
    <w:rsid w:val="00B57A1C"/>
    <w:rPr>
      <w:rFonts w:eastAsia="MS Mincho"/>
      <w:i/>
      <w:iCs/>
    </w:rPr>
  </w:style>
  <w:style w:type="character" w:customStyle="1" w:styleId="AbstractChar">
    <w:name w:val="Abstract Char"/>
    <w:basedOn w:val="Fuentedeprrafopredeter"/>
    <w:link w:val="Abstract"/>
    <w:locked/>
    <w:rsid w:val="00B57A1C"/>
    <w:rPr>
      <w:b/>
      <w:bCs/>
      <w:sz w:val="18"/>
      <w:szCs w:val="18"/>
      <w:lang w:val="en-US" w:eastAsia="en-US" w:bidi="ar-SA"/>
    </w:rPr>
  </w:style>
  <w:style w:type="character" w:customStyle="1" w:styleId="StyleAbstractItalicChar">
    <w:name w:val="Style Abstract + Italic Char"/>
    <w:basedOn w:val="AbstractChar"/>
    <w:link w:val="StyleAbstractItalic"/>
    <w:locked/>
    <w:rsid w:val="00B57A1C"/>
    <w:rPr>
      <w:rFonts w:eastAsia="MS Mincho"/>
      <w:b/>
      <w:bCs/>
      <w:i/>
      <w:iCs/>
      <w:sz w:val="18"/>
      <w:szCs w:val="18"/>
      <w:lang w:val="en-US" w:eastAsia="en-US" w:bidi="ar-SA"/>
    </w:rPr>
  </w:style>
  <w:style w:type="paragraph" w:styleId="Textodeglobo">
    <w:name w:val="Balloon Text"/>
    <w:basedOn w:val="Normal"/>
    <w:link w:val="TextodegloboCar"/>
    <w:rsid w:val="002D7F54"/>
    <w:rPr>
      <w:rFonts w:ascii="Tahoma" w:hAnsi="Tahoma" w:cs="Tahoma"/>
      <w:sz w:val="16"/>
      <w:szCs w:val="16"/>
    </w:rPr>
  </w:style>
  <w:style w:type="character" w:customStyle="1" w:styleId="TextodegloboCar">
    <w:name w:val="Texto de globo Car"/>
    <w:basedOn w:val="Fuentedeprrafopredeter"/>
    <w:link w:val="Textodeglobo"/>
    <w:rsid w:val="002D7F54"/>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chart" Target="charts/chart1.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preis\Desktop\papersformat.dot"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t-PT" sz="1200"/>
              <a:t>Number of Publications</a:t>
            </a:r>
          </a:p>
        </c:rich>
      </c:tx>
      <c:overlay val="0"/>
    </c:title>
    <c:autoTitleDeleted val="0"/>
    <c:view3D>
      <c:rotX val="15"/>
      <c:rotY val="20"/>
      <c:rAngAx val="1"/>
    </c:view3D>
    <c:floor>
      <c:thickness val="0"/>
    </c:floor>
    <c:sideWall>
      <c:thickness val="0"/>
    </c:sideWall>
    <c:backWall>
      <c:thickness val="0"/>
    </c:backWall>
    <c:plotArea>
      <c:layout>
        <c:manualLayout>
          <c:layoutTarget val="inner"/>
          <c:xMode val="edge"/>
          <c:yMode val="edge"/>
          <c:x val="0.10271297750326429"/>
          <c:y val="0.17032089738782649"/>
          <c:w val="0.66907730283714539"/>
          <c:h val="0.67025437504729268"/>
        </c:manualLayout>
      </c:layout>
      <c:bar3DChart>
        <c:barDir val="col"/>
        <c:grouping val="stacked"/>
        <c:varyColors val="0"/>
        <c:ser>
          <c:idx val="1"/>
          <c:order val="0"/>
          <c:tx>
            <c:strRef>
              <c:f>Sheet1!$C$16</c:f>
              <c:strCache>
                <c:ptCount val="1"/>
                <c:pt idx="0">
                  <c:v>Journal</c:v>
                </c:pt>
              </c:strCache>
            </c:strRef>
          </c:tx>
          <c:spPr>
            <a:pattFill prst="lgCheck">
              <a:fgClr>
                <a:srgbClr val="FFC000"/>
              </a:fgClr>
              <a:bgClr>
                <a:schemeClr val="bg1"/>
              </a:bgClr>
            </a:pattFill>
          </c:spPr>
          <c:invertIfNegative val="0"/>
          <c:cat>
            <c:numRef>
              <c:f>Sheet1!$D$15:$J$15</c:f>
              <c:numCache>
                <c:formatCode>General</c:formatCode>
                <c:ptCount val="7"/>
                <c:pt idx="0">
                  <c:v>2008</c:v>
                </c:pt>
                <c:pt idx="1">
                  <c:v>2009</c:v>
                </c:pt>
                <c:pt idx="2">
                  <c:v>2010</c:v>
                </c:pt>
                <c:pt idx="3">
                  <c:v>2011</c:v>
                </c:pt>
                <c:pt idx="4">
                  <c:v>2012</c:v>
                </c:pt>
                <c:pt idx="5">
                  <c:v>2013</c:v>
                </c:pt>
              </c:numCache>
            </c:numRef>
          </c:cat>
          <c:val>
            <c:numRef>
              <c:f>Sheet1!$D$16:$I$16</c:f>
              <c:numCache>
                <c:formatCode>General</c:formatCode>
                <c:ptCount val="6"/>
                <c:pt idx="0">
                  <c:v>6</c:v>
                </c:pt>
                <c:pt idx="1">
                  <c:v>7</c:v>
                </c:pt>
                <c:pt idx="2">
                  <c:v>12</c:v>
                </c:pt>
                <c:pt idx="3">
                  <c:v>16</c:v>
                </c:pt>
                <c:pt idx="4">
                  <c:v>20</c:v>
                </c:pt>
                <c:pt idx="5">
                  <c:v>25</c:v>
                </c:pt>
              </c:numCache>
            </c:numRef>
          </c:val>
          <c:extLst>
            <c:ext xmlns:c16="http://schemas.microsoft.com/office/drawing/2014/chart" uri="{C3380CC4-5D6E-409C-BE32-E72D297353CC}">
              <c16:uniqueId val="{00000000-7E82-4EE5-B224-4136FF330EEB}"/>
            </c:ext>
          </c:extLst>
        </c:ser>
        <c:ser>
          <c:idx val="2"/>
          <c:order val="1"/>
          <c:tx>
            <c:strRef>
              <c:f>Sheet1!$C$17</c:f>
              <c:strCache>
                <c:ptCount val="1"/>
                <c:pt idx="0">
                  <c:v>Editorial</c:v>
                </c:pt>
              </c:strCache>
            </c:strRef>
          </c:tx>
          <c:spPr>
            <a:pattFill prst="openDmnd">
              <a:fgClr>
                <a:srgbClr val="C00000"/>
              </a:fgClr>
              <a:bgClr>
                <a:schemeClr val="bg1"/>
              </a:bgClr>
            </a:pattFill>
          </c:spPr>
          <c:invertIfNegative val="0"/>
          <c:cat>
            <c:numRef>
              <c:f>Sheet1!$D$15:$J$15</c:f>
              <c:numCache>
                <c:formatCode>General</c:formatCode>
                <c:ptCount val="7"/>
                <c:pt idx="0">
                  <c:v>2008</c:v>
                </c:pt>
                <c:pt idx="1">
                  <c:v>2009</c:v>
                </c:pt>
                <c:pt idx="2">
                  <c:v>2010</c:v>
                </c:pt>
                <c:pt idx="3">
                  <c:v>2011</c:v>
                </c:pt>
                <c:pt idx="4">
                  <c:v>2012</c:v>
                </c:pt>
                <c:pt idx="5">
                  <c:v>2013</c:v>
                </c:pt>
              </c:numCache>
            </c:numRef>
          </c:cat>
          <c:val>
            <c:numRef>
              <c:f>Sheet1!$D$17:$I$17</c:f>
              <c:numCache>
                <c:formatCode>General</c:formatCode>
                <c:ptCount val="6"/>
                <c:pt idx="0">
                  <c:v>7</c:v>
                </c:pt>
                <c:pt idx="1">
                  <c:v>4</c:v>
                </c:pt>
                <c:pt idx="2">
                  <c:v>6</c:v>
                </c:pt>
                <c:pt idx="3">
                  <c:v>9</c:v>
                </c:pt>
                <c:pt idx="4">
                  <c:v>10</c:v>
                </c:pt>
                <c:pt idx="5">
                  <c:v>16</c:v>
                </c:pt>
              </c:numCache>
            </c:numRef>
          </c:val>
          <c:extLst>
            <c:ext xmlns:c16="http://schemas.microsoft.com/office/drawing/2014/chart" uri="{C3380CC4-5D6E-409C-BE32-E72D297353CC}">
              <c16:uniqueId val="{00000001-7E82-4EE5-B224-4136FF330EEB}"/>
            </c:ext>
          </c:extLst>
        </c:ser>
        <c:ser>
          <c:idx val="3"/>
          <c:order val="2"/>
          <c:tx>
            <c:strRef>
              <c:f>Sheet1!$C$18</c:f>
              <c:strCache>
                <c:ptCount val="1"/>
                <c:pt idx="0">
                  <c:v>Conference</c:v>
                </c:pt>
              </c:strCache>
            </c:strRef>
          </c:tx>
          <c:spPr>
            <a:pattFill prst="dkUpDiag">
              <a:fgClr>
                <a:schemeClr val="accent1"/>
              </a:fgClr>
              <a:bgClr>
                <a:schemeClr val="bg1"/>
              </a:bgClr>
            </a:pattFill>
          </c:spPr>
          <c:invertIfNegative val="0"/>
          <c:cat>
            <c:numRef>
              <c:f>Sheet1!$D$15:$J$15</c:f>
              <c:numCache>
                <c:formatCode>General</c:formatCode>
                <c:ptCount val="7"/>
                <c:pt idx="0">
                  <c:v>2008</c:v>
                </c:pt>
                <c:pt idx="1">
                  <c:v>2009</c:v>
                </c:pt>
                <c:pt idx="2">
                  <c:v>2010</c:v>
                </c:pt>
                <c:pt idx="3">
                  <c:v>2011</c:v>
                </c:pt>
                <c:pt idx="4">
                  <c:v>2012</c:v>
                </c:pt>
                <c:pt idx="5">
                  <c:v>2013</c:v>
                </c:pt>
              </c:numCache>
            </c:numRef>
          </c:cat>
          <c:val>
            <c:numRef>
              <c:f>Sheet1!$D$18:$I$18</c:f>
              <c:numCache>
                <c:formatCode>General</c:formatCode>
                <c:ptCount val="6"/>
                <c:pt idx="0">
                  <c:v>30</c:v>
                </c:pt>
                <c:pt idx="1">
                  <c:v>52</c:v>
                </c:pt>
                <c:pt idx="2">
                  <c:v>45</c:v>
                </c:pt>
                <c:pt idx="3">
                  <c:v>43</c:v>
                </c:pt>
                <c:pt idx="4">
                  <c:v>38</c:v>
                </c:pt>
                <c:pt idx="5">
                  <c:v>35</c:v>
                </c:pt>
              </c:numCache>
            </c:numRef>
          </c:val>
          <c:extLst>
            <c:ext xmlns:c16="http://schemas.microsoft.com/office/drawing/2014/chart" uri="{C3380CC4-5D6E-409C-BE32-E72D297353CC}">
              <c16:uniqueId val="{00000002-7E82-4EE5-B224-4136FF330EEB}"/>
            </c:ext>
          </c:extLst>
        </c:ser>
        <c:dLbls>
          <c:showLegendKey val="0"/>
          <c:showVal val="0"/>
          <c:showCatName val="0"/>
          <c:showSerName val="0"/>
          <c:showPercent val="0"/>
          <c:showBubbleSize val="0"/>
        </c:dLbls>
        <c:gapWidth val="55"/>
        <c:gapDepth val="55"/>
        <c:shape val="box"/>
        <c:axId val="72570368"/>
        <c:axId val="72571904"/>
        <c:axId val="0"/>
      </c:bar3DChart>
      <c:catAx>
        <c:axId val="72570368"/>
        <c:scaling>
          <c:orientation val="minMax"/>
        </c:scaling>
        <c:delete val="0"/>
        <c:axPos val="b"/>
        <c:numFmt formatCode="General" sourceLinked="1"/>
        <c:majorTickMark val="none"/>
        <c:minorTickMark val="none"/>
        <c:tickLblPos val="nextTo"/>
        <c:crossAx val="72571904"/>
        <c:crosses val="autoZero"/>
        <c:auto val="1"/>
        <c:lblAlgn val="ctr"/>
        <c:lblOffset val="100"/>
        <c:noMultiLvlLbl val="0"/>
      </c:catAx>
      <c:valAx>
        <c:axId val="72571904"/>
        <c:scaling>
          <c:orientation val="minMax"/>
        </c:scaling>
        <c:delete val="0"/>
        <c:axPos val="l"/>
        <c:majorGridlines/>
        <c:numFmt formatCode="General" sourceLinked="1"/>
        <c:majorTickMark val="none"/>
        <c:minorTickMark val="none"/>
        <c:tickLblPos val="nextTo"/>
        <c:crossAx val="72570368"/>
        <c:crosses val="autoZero"/>
        <c:crossBetween val="between"/>
      </c:valAx>
    </c:plotArea>
    <c:legend>
      <c:legendPos val="r"/>
      <c:layout>
        <c:manualLayout>
          <c:xMode val="edge"/>
          <c:yMode val="edge"/>
          <c:x val="0.74329573058842036"/>
          <c:y val="0.42423342915468903"/>
          <c:w val="0.25369422572178479"/>
          <c:h val="0.43845501535539194"/>
        </c:manualLayout>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papersformat</Template>
  <TotalTime>9</TotalTime>
  <Pages>4</Pages>
  <Words>2234</Words>
  <Characters>12739</Characters>
  <Application>Microsoft Office Word</Application>
  <DocSecurity>0</DocSecurity>
  <Lines>106</Lines>
  <Paragraphs>29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14944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António Pedro Costa</dc:creator>
  <cp:lastModifiedBy>Andres Lopez hidalgo</cp:lastModifiedBy>
  <cp:revision>11</cp:revision>
  <dcterms:created xsi:type="dcterms:W3CDTF">2014-02-13T19:46:00Z</dcterms:created>
  <dcterms:modified xsi:type="dcterms:W3CDTF">2017-11-20T01:57:00Z</dcterms:modified>
</cp:coreProperties>
</file>