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991" w:rsidRDefault="00715991" w:rsidP="00715991">
      <w:pPr>
        <w:rPr>
          <w:u w:val="single"/>
        </w:rPr>
      </w:pPr>
      <w:r w:rsidRPr="00715991">
        <w:rPr>
          <w:u w:val="single"/>
        </w:rPr>
        <w:t>Introduction</w:t>
      </w:r>
    </w:p>
    <w:p w:rsidR="00401D28" w:rsidRDefault="00715991" w:rsidP="00715991">
      <w:r>
        <w:t xml:space="preserve">The primary research question explored in this poster is whether deforestation caused an increase in malaria among children aged 5 and under in Tanzania. </w:t>
      </w:r>
      <w:r w:rsidR="00C31710">
        <w:t>Besides the paper on Nigeria (Berazneva and Byker 2017), previous research has yet to identify the relationship between deforestation an</w:t>
      </w:r>
      <w:r w:rsidR="005829D2">
        <w:t>d malaria. Possible linkages are that forests impact the health and size of the mosquito population as well as filter drinking water.</w:t>
      </w:r>
      <w:r w:rsidR="00A87322">
        <w:t xml:space="preserve"> </w:t>
      </w:r>
    </w:p>
    <w:p w:rsidR="00401D28" w:rsidRDefault="00401D28" w:rsidP="00715991"/>
    <w:p w:rsidR="00401D28" w:rsidRDefault="00401D28" w:rsidP="00715991">
      <w:pPr>
        <w:rPr>
          <w:u w:val="single"/>
        </w:rPr>
      </w:pPr>
      <w:r>
        <w:rPr>
          <w:u w:val="single"/>
        </w:rPr>
        <w:t>Data</w:t>
      </w:r>
    </w:p>
    <w:p w:rsidR="00715991" w:rsidRDefault="00A87322" w:rsidP="00715991">
      <w:r>
        <w:t xml:space="preserve">We utilize </w:t>
      </w:r>
      <w:r w:rsidR="00401D28">
        <w:t>data from the</w:t>
      </w:r>
      <w:r>
        <w:t xml:space="preserve"> Demographic and Health Survey</w:t>
      </w:r>
      <w:r w:rsidR="00401D28">
        <w:t xml:space="preserve">s (DHS) conducted in Tanzania in 2010 and 2015/16. The surveys asked mothers whether each child had a fever in the two weeks preceding the survey. In Tanzania, the term malaria and fever are used interchangeably, so we use fever as an indicator of malaria. Deforestation data originates from remote sensing conducted on Landsat imagery. We utilize a processed dataset created by Matthew Hansen at the University of Maryland. </w:t>
      </w:r>
    </w:p>
    <w:p w:rsidR="00401D28" w:rsidRDefault="00401D28" w:rsidP="00715991"/>
    <w:p w:rsidR="00EE6BAB" w:rsidRDefault="00EE6BAB" w:rsidP="00715991"/>
    <w:p w:rsidR="00EE6BAB" w:rsidRDefault="00EE6BAB" w:rsidP="00715991"/>
    <w:p w:rsidR="00CC4E4F" w:rsidRDefault="00DE71D2" w:rsidP="00DE71D2">
      <w:pPr>
        <w:pStyle w:val="NormalWeb"/>
        <w:rPr>
          <w:rFonts w:ascii="TimesLTStd" w:hAnsi="TimesLTStd"/>
          <w:i/>
          <w:iCs/>
          <w:sz w:val="14"/>
          <w:szCs w:val="14"/>
        </w:rPr>
      </w:pPr>
      <w:r>
        <w:rPr>
          <w:rFonts w:ascii="TimesLTStd" w:hAnsi="TimesLTStd"/>
          <w:i/>
          <w:iCs/>
          <w:sz w:val="20"/>
          <w:szCs w:val="20"/>
        </w:rPr>
        <w:t>Y</w:t>
      </w:r>
      <w:r w:rsidR="00CC4E4F">
        <w:rPr>
          <w:rFonts w:ascii="TimesLTStd" w:hAnsi="TimesLTStd"/>
          <w:i/>
          <w:iCs/>
          <w:sz w:val="20"/>
          <w:szCs w:val="20"/>
          <w:vertAlign w:val="subscript"/>
        </w:rPr>
        <w:t>itc</w:t>
      </w:r>
      <w:r>
        <w:rPr>
          <w:rFonts w:ascii="TimesLTStd" w:hAnsi="TimesLTStd"/>
          <w:i/>
          <w:iCs/>
          <w:sz w:val="20"/>
          <w:szCs w:val="20"/>
        </w:rPr>
        <w:t xml:space="preserve"> </w:t>
      </w:r>
      <w:r>
        <w:rPr>
          <w:rFonts w:ascii="UniMath" w:hAnsi="UniMath"/>
          <w:sz w:val="20"/>
          <w:szCs w:val="20"/>
        </w:rPr>
        <w:t>=α</w:t>
      </w:r>
      <w:r w:rsidR="00CC4E4F">
        <w:rPr>
          <w:rFonts w:ascii="UniMath" w:hAnsi="UniMath"/>
          <w:sz w:val="20"/>
          <w:szCs w:val="20"/>
          <w:vertAlign w:val="subscript"/>
        </w:rPr>
        <w:t>0</w:t>
      </w:r>
      <w:r>
        <w:rPr>
          <w:rFonts w:ascii="UniMath" w:hAnsi="UniMath"/>
          <w:sz w:val="20"/>
          <w:szCs w:val="20"/>
        </w:rPr>
        <w:t xml:space="preserve"> +</w:t>
      </w:r>
      <w:r>
        <w:rPr>
          <w:rFonts w:ascii="UniMath" w:hAnsi="UniMath"/>
          <w:sz w:val="22"/>
          <w:szCs w:val="22"/>
        </w:rPr>
        <w:t>∑</w:t>
      </w:r>
      <w:r w:rsidR="00CC4E4F">
        <w:rPr>
          <w:rFonts w:ascii="UniMath" w:hAnsi="UniMath"/>
          <w:sz w:val="22"/>
          <w:szCs w:val="22"/>
          <w:vertAlign w:val="superscript"/>
        </w:rPr>
        <w:t xml:space="preserve"> </w:t>
      </w:r>
      <w:r>
        <w:rPr>
          <w:rFonts w:ascii="UniMath" w:hAnsi="UniMath"/>
          <w:sz w:val="20"/>
          <w:szCs w:val="20"/>
        </w:rPr>
        <w:t>β</w:t>
      </w:r>
      <w:r w:rsidR="00CC4E4F">
        <w:rPr>
          <w:rFonts w:ascii="UniMath" w:hAnsi="UniMath"/>
          <w:sz w:val="20"/>
          <w:szCs w:val="20"/>
          <w:vertAlign w:val="subscript"/>
        </w:rPr>
        <w:t>j</w:t>
      </w:r>
      <w:r w:rsidR="00CC4E4F">
        <w:rPr>
          <w:rFonts w:ascii="UniMath" w:hAnsi="UniMath"/>
          <w:sz w:val="20"/>
          <w:szCs w:val="20"/>
        </w:rPr>
        <w:t xml:space="preserve"> </w:t>
      </w:r>
      <w:r>
        <w:rPr>
          <w:rFonts w:ascii="TimesLTStd" w:hAnsi="TimesLTStd"/>
          <w:i/>
          <w:iCs/>
          <w:sz w:val="20"/>
          <w:szCs w:val="20"/>
        </w:rPr>
        <w:t>lo</w:t>
      </w:r>
      <w:r w:rsidR="00CC4E4F">
        <w:rPr>
          <w:rFonts w:ascii="TimesLTStd" w:hAnsi="TimesLTStd"/>
          <w:i/>
          <w:iCs/>
          <w:sz w:val="20"/>
          <w:szCs w:val="20"/>
        </w:rPr>
        <w:t>s</w:t>
      </w:r>
      <w:r>
        <w:rPr>
          <w:rFonts w:ascii="TimesLTStd" w:hAnsi="TimesLTStd"/>
          <w:i/>
          <w:iCs/>
          <w:sz w:val="20"/>
          <w:szCs w:val="20"/>
        </w:rPr>
        <w:t>s</w:t>
      </w:r>
      <w:r w:rsidR="00CC4E4F">
        <w:rPr>
          <w:rFonts w:ascii="TimesLTStd" w:hAnsi="TimesLTStd"/>
          <w:i/>
          <w:iCs/>
          <w:sz w:val="20"/>
          <w:szCs w:val="20"/>
          <w:vertAlign w:val="superscript"/>
        </w:rPr>
        <w:t>j</w:t>
      </w:r>
      <w:r w:rsidR="00CC4E4F">
        <w:rPr>
          <w:rFonts w:ascii="TimesLTStd" w:hAnsi="TimesLTStd"/>
          <w:i/>
          <w:iCs/>
          <w:sz w:val="20"/>
          <w:szCs w:val="20"/>
          <w:vertAlign w:val="subscript"/>
        </w:rPr>
        <w:t>tc</w:t>
      </w:r>
      <w:r>
        <w:rPr>
          <w:rFonts w:ascii="TimesLTStd" w:hAnsi="TimesLTStd"/>
          <w:i/>
          <w:iCs/>
          <w:position w:val="8"/>
          <w:sz w:val="14"/>
          <w:szCs w:val="14"/>
        </w:rPr>
        <w:t xml:space="preserve"> </w:t>
      </w:r>
      <w:r>
        <w:rPr>
          <w:rFonts w:ascii="UniMath" w:hAnsi="UniMath"/>
          <w:sz w:val="20"/>
          <w:szCs w:val="20"/>
        </w:rPr>
        <w:t>+</w:t>
      </w:r>
      <w:r>
        <w:rPr>
          <w:rFonts w:ascii="TimesLTStd" w:hAnsi="TimesLTStd"/>
          <w:b/>
          <w:bCs/>
          <w:sz w:val="20"/>
          <w:szCs w:val="20"/>
        </w:rPr>
        <w:t>X</w:t>
      </w:r>
      <w:r>
        <w:rPr>
          <w:rFonts w:ascii="UniMath" w:hAnsi="UniMath"/>
          <w:b/>
          <w:bCs/>
          <w:sz w:val="20"/>
          <w:szCs w:val="20"/>
        </w:rPr>
        <w:t>′ γ</w:t>
      </w:r>
      <w:r>
        <w:rPr>
          <w:rFonts w:ascii="UniMath" w:hAnsi="UniMath"/>
          <w:sz w:val="20"/>
          <w:szCs w:val="20"/>
        </w:rPr>
        <w:t>+</w:t>
      </w:r>
      <w:r>
        <w:rPr>
          <w:rFonts w:ascii="TimesLTStd" w:hAnsi="TimesLTStd"/>
          <w:b/>
          <w:bCs/>
          <w:sz w:val="20"/>
          <w:szCs w:val="20"/>
        </w:rPr>
        <w:t>Region</w:t>
      </w:r>
      <w:r>
        <w:rPr>
          <w:rFonts w:ascii="UniMath" w:hAnsi="UniMath"/>
          <w:b/>
          <w:bCs/>
          <w:sz w:val="20"/>
          <w:szCs w:val="20"/>
        </w:rPr>
        <w:t xml:space="preserve">′π </w:t>
      </w:r>
      <w:r>
        <w:rPr>
          <w:rFonts w:ascii="UniMath" w:hAnsi="UniMath"/>
          <w:sz w:val="20"/>
          <w:szCs w:val="20"/>
        </w:rPr>
        <w:t>+ μ′</w:t>
      </w:r>
      <w:r>
        <w:rPr>
          <w:rFonts w:ascii="TimesLTStd" w:hAnsi="TimesLTStd"/>
          <w:i/>
          <w:iCs/>
          <w:sz w:val="20"/>
          <w:szCs w:val="20"/>
        </w:rPr>
        <w:t>month</w:t>
      </w:r>
      <w:r>
        <w:rPr>
          <w:rFonts w:ascii="TimesLTStd" w:hAnsi="TimesLTStd"/>
          <w:i/>
          <w:iCs/>
          <w:position w:val="-4"/>
          <w:sz w:val="14"/>
          <w:szCs w:val="14"/>
        </w:rPr>
        <w:t xml:space="preserve">itc </w:t>
      </w:r>
      <w:r>
        <w:rPr>
          <w:rFonts w:ascii="UniMath" w:hAnsi="UniMath"/>
          <w:sz w:val="20"/>
          <w:szCs w:val="20"/>
        </w:rPr>
        <w:t xml:space="preserve">+ </w:t>
      </w:r>
      <w:r>
        <w:rPr>
          <w:rFonts w:ascii="TimesLTStd" w:hAnsi="TimesLTStd"/>
          <w:b/>
          <w:bCs/>
          <w:sz w:val="20"/>
          <w:szCs w:val="20"/>
        </w:rPr>
        <w:t>DHSyear</w:t>
      </w:r>
      <w:r>
        <w:rPr>
          <w:rFonts w:ascii="UniMath" w:hAnsi="UniMath"/>
          <w:b/>
          <w:bCs/>
          <w:position w:val="-2"/>
          <w:sz w:val="20"/>
          <w:szCs w:val="20"/>
        </w:rPr>
        <w:t>′</w:t>
      </w:r>
      <w:r>
        <w:rPr>
          <w:rFonts w:ascii="TimesLTStd" w:hAnsi="TimesLTStd"/>
          <w:b/>
          <w:bCs/>
          <w:position w:val="-4"/>
          <w:sz w:val="14"/>
          <w:szCs w:val="14"/>
        </w:rPr>
        <w:t xml:space="preserve">t </w:t>
      </w:r>
      <w:r>
        <w:rPr>
          <w:rFonts w:ascii="UniMath" w:hAnsi="UniMath"/>
          <w:b/>
          <w:bCs/>
          <w:sz w:val="20"/>
          <w:szCs w:val="20"/>
        </w:rPr>
        <w:t xml:space="preserve">θ </w:t>
      </w:r>
      <w:r>
        <w:rPr>
          <w:rFonts w:ascii="UniMath" w:hAnsi="UniMath"/>
          <w:sz w:val="20"/>
          <w:szCs w:val="20"/>
        </w:rPr>
        <w:t xml:space="preserve">+ </w:t>
      </w:r>
      <w:r>
        <w:rPr>
          <w:rFonts w:ascii="UniMath" w:hAnsi="UniMath"/>
          <w:sz w:val="22"/>
          <w:szCs w:val="22"/>
        </w:rPr>
        <w:t>∑</w:t>
      </w:r>
      <w:r>
        <w:rPr>
          <w:rFonts w:ascii="UniMath" w:hAnsi="UniMath"/>
          <w:sz w:val="20"/>
          <w:szCs w:val="20"/>
        </w:rPr>
        <w:t xml:space="preserve">λ </w:t>
      </w:r>
      <w:r>
        <w:rPr>
          <w:rFonts w:ascii="TimesLTStd" w:hAnsi="TimesLTStd"/>
          <w:i/>
          <w:iCs/>
          <w:sz w:val="20"/>
          <w:szCs w:val="20"/>
        </w:rPr>
        <w:t>month</w:t>
      </w:r>
      <w:r>
        <w:rPr>
          <w:rFonts w:ascii="TimesLTStd" w:hAnsi="TimesLTStd"/>
          <w:i/>
          <w:iCs/>
          <w:position w:val="8"/>
          <w:sz w:val="14"/>
          <w:szCs w:val="14"/>
        </w:rPr>
        <w:t>m</w:t>
      </w:r>
      <w:r>
        <w:rPr>
          <w:rFonts w:ascii="UniMath" w:hAnsi="UniMath"/>
          <w:sz w:val="20"/>
          <w:szCs w:val="20"/>
        </w:rPr>
        <w:t>×</w:t>
      </w:r>
      <w:r>
        <w:rPr>
          <w:rFonts w:ascii="TimesLTStd" w:hAnsi="TimesLTStd"/>
          <w:i/>
          <w:iCs/>
          <w:sz w:val="20"/>
          <w:szCs w:val="20"/>
        </w:rPr>
        <w:t xml:space="preserve">Region </w:t>
      </w:r>
      <w:r>
        <w:rPr>
          <w:rFonts w:ascii="UniMath" w:hAnsi="UniMath"/>
          <w:sz w:val="20"/>
          <w:szCs w:val="20"/>
        </w:rPr>
        <w:t>×</w:t>
      </w:r>
      <w:r w:rsidR="00CC4E4F">
        <w:rPr>
          <w:rFonts w:ascii="UniMath" w:hAnsi="UniMath"/>
          <w:sz w:val="20"/>
          <w:szCs w:val="20"/>
        </w:rPr>
        <w:t xml:space="preserve"> </w:t>
      </w:r>
      <w:r>
        <w:rPr>
          <w:rFonts w:ascii="TimesLTStd" w:hAnsi="TimesLTStd"/>
          <w:i/>
          <w:iCs/>
          <w:sz w:val="20"/>
          <w:szCs w:val="20"/>
        </w:rPr>
        <w:t>DHSYear</w:t>
      </w:r>
      <w:r w:rsidR="00CC4E4F">
        <w:rPr>
          <w:rFonts w:ascii="TimesLTStd" w:hAnsi="TimesLTStd"/>
          <w:i/>
          <w:iCs/>
          <w:sz w:val="20"/>
          <w:szCs w:val="20"/>
        </w:rPr>
        <w:t xml:space="preserve"> </w:t>
      </w:r>
      <w:r>
        <w:rPr>
          <w:rFonts w:ascii="UniMath" w:hAnsi="UniMath"/>
          <w:sz w:val="20"/>
          <w:szCs w:val="20"/>
        </w:rPr>
        <w:t>+</w:t>
      </w:r>
      <w:r w:rsidR="00CC4E4F">
        <w:rPr>
          <w:rFonts w:ascii="UniMath" w:hAnsi="UniMath"/>
          <w:sz w:val="20"/>
          <w:szCs w:val="20"/>
        </w:rPr>
        <w:t xml:space="preserve"> </w:t>
      </w:r>
      <w:r>
        <w:rPr>
          <w:rFonts w:ascii="UniMath" w:hAnsi="UniMath"/>
          <w:sz w:val="20"/>
          <w:szCs w:val="20"/>
        </w:rPr>
        <w:t>ε</w:t>
      </w:r>
      <w:r>
        <w:rPr>
          <w:rFonts w:ascii="TimesLTStd" w:hAnsi="TimesLTStd"/>
          <w:i/>
          <w:iCs/>
          <w:sz w:val="14"/>
          <w:szCs w:val="14"/>
        </w:rPr>
        <w:t xml:space="preserve"> itc </w:t>
      </w:r>
    </w:p>
    <w:p w:rsidR="00CC4E4F" w:rsidRDefault="00CC4E4F" w:rsidP="00DE71D2">
      <w:pPr>
        <w:pStyle w:val="NormalWeb"/>
        <w:rPr>
          <w:rFonts w:ascii="TimesLTStd" w:hAnsi="TimesLTStd"/>
          <w:i/>
          <w:iCs/>
          <w:sz w:val="14"/>
          <w:szCs w:val="14"/>
        </w:rPr>
      </w:pPr>
    </w:p>
    <w:p w:rsidR="009A21F0" w:rsidRDefault="009A21F0" w:rsidP="00DE71D2">
      <w:pPr>
        <w:pStyle w:val="NormalWeb"/>
        <w:rPr>
          <w:rFonts w:ascii="TimesLTStd" w:hAnsi="TimesLTStd"/>
          <w:i/>
          <w:iCs/>
          <w:sz w:val="14"/>
          <w:szCs w:val="14"/>
        </w:rPr>
      </w:pPr>
    </w:p>
    <w:p w:rsidR="009A21F0" w:rsidRPr="009A21F0" w:rsidRDefault="009A21F0" w:rsidP="00DE71D2">
      <w:pPr>
        <w:pStyle w:val="NormalWeb"/>
        <w:rPr>
          <w:rFonts w:ascii="Calibri" w:hAnsi="Calibri" w:cs="Calibri"/>
          <w:u w:val="single"/>
        </w:rPr>
      </w:pPr>
      <w:r w:rsidRPr="009A21F0">
        <w:rPr>
          <w:rFonts w:ascii="Calibri" w:hAnsi="Calibri" w:cs="Calibri"/>
          <w:u w:val="single"/>
        </w:rPr>
        <w:t>References</w:t>
      </w:r>
    </w:p>
    <w:p w:rsidR="005E54FC" w:rsidRDefault="005E54FC" w:rsidP="00DE71D2">
      <w:pPr>
        <w:pStyle w:val="NormalWeb"/>
        <w:rPr>
          <w:rFonts w:ascii="Calibri" w:hAnsi="Calibri" w:cs="Calibri"/>
        </w:rPr>
      </w:pPr>
      <w:r w:rsidRPr="005E54FC">
        <w:rPr>
          <w:rFonts w:ascii="Calibri" w:hAnsi="Calibri" w:cs="Calibri"/>
          <w:b/>
          <w:bCs/>
        </w:rPr>
        <w:t>National Bureau of Statistics - Tanzania and ICF Macro</w:t>
      </w:r>
      <w:r w:rsidRPr="005E54FC">
        <w:rPr>
          <w:rFonts w:ascii="Calibri" w:hAnsi="Calibri" w:cs="Calibri"/>
          <w:b/>
          <w:bCs/>
          <w:i/>
          <w:iCs/>
        </w:rPr>
        <w:t>.</w:t>
      </w:r>
      <w:r w:rsidRPr="005E54FC">
        <w:rPr>
          <w:rFonts w:ascii="Calibri" w:hAnsi="Calibri" w:cs="Calibri"/>
          <w:i/>
          <w:iCs/>
        </w:rPr>
        <w:t xml:space="preserve"> </w:t>
      </w:r>
      <w:r w:rsidRPr="005E54FC">
        <w:rPr>
          <w:rFonts w:ascii="Calibri" w:hAnsi="Calibri" w:cs="Calibri"/>
        </w:rPr>
        <w:t xml:space="preserve">2011. </w:t>
      </w:r>
      <w:r>
        <w:rPr>
          <w:rFonts w:ascii="Calibri" w:hAnsi="Calibri" w:cs="Calibri"/>
        </w:rPr>
        <w:t>“</w:t>
      </w:r>
      <w:r w:rsidRPr="005E54FC">
        <w:rPr>
          <w:rFonts w:ascii="Calibri" w:hAnsi="Calibri" w:cs="Calibri"/>
        </w:rPr>
        <w:t>Tanzania Dem</w:t>
      </w:r>
      <w:r>
        <w:rPr>
          <w:rFonts w:ascii="Calibri" w:hAnsi="Calibri" w:cs="Calibri"/>
        </w:rPr>
        <w:t>ographic and Health Survey 2010.”</w:t>
      </w:r>
    </w:p>
    <w:p w:rsidR="00DE71D2" w:rsidRPr="00F14640" w:rsidRDefault="005E54FC" w:rsidP="00F14640">
      <w:pPr>
        <w:pStyle w:val="NormalWeb"/>
        <w:rPr>
          <w:rFonts w:ascii="Calibri" w:hAnsi="Calibri" w:cs="Calibri"/>
        </w:rPr>
      </w:pPr>
      <w:r w:rsidRPr="005E54FC">
        <w:rPr>
          <w:rFonts w:ascii="Calibri" w:hAnsi="Calibri" w:cs="Calibri"/>
          <w:b/>
          <w:bCs/>
        </w:rPr>
        <w:t>National Bureau of Statistics - Tanzania and ICF Macro</w:t>
      </w:r>
      <w:r w:rsidRPr="005E54FC">
        <w:rPr>
          <w:rFonts w:ascii="Calibri" w:hAnsi="Calibri" w:cs="Calibri"/>
          <w:b/>
          <w:bCs/>
          <w:i/>
          <w:iCs/>
        </w:rPr>
        <w:t>.</w:t>
      </w:r>
      <w:r w:rsidRPr="005E54FC">
        <w:rPr>
          <w:rFonts w:ascii="Calibri" w:hAnsi="Calibri" w:cs="Calibri"/>
          <w:i/>
          <w:iCs/>
        </w:rPr>
        <w:t xml:space="preserve"> </w:t>
      </w:r>
      <w:r>
        <w:rPr>
          <w:rFonts w:ascii="Calibri" w:hAnsi="Calibri" w:cs="Calibri"/>
        </w:rPr>
        <w:t>2016</w:t>
      </w:r>
      <w:r w:rsidRPr="005E54FC">
        <w:rPr>
          <w:rFonts w:ascii="Calibri" w:hAnsi="Calibri" w:cs="Calibri"/>
        </w:rPr>
        <w:t xml:space="preserve">. </w:t>
      </w:r>
      <w:r>
        <w:rPr>
          <w:rFonts w:ascii="Calibri" w:hAnsi="Calibri" w:cs="Calibri"/>
        </w:rPr>
        <w:t>“</w:t>
      </w:r>
      <w:r w:rsidRPr="005E54FC">
        <w:rPr>
          <w:rFonts w:ascii="Calibri" w:hAnsi="Calibri" w:cs="Calibri"/>
        </w:rPr>
        <w:t>Tanzania Dem</w:t>
      </w:r>
      <w:r>
        <w:rPr>
          <w:rFonts w:ascii="Calibri" w:hAnsi="Calibri" w:cs="Calibri"/>
        </w:rPr>
        <w:t>ographic and Health Survey 2015-16.”</w:t>
      </w:r>
    </w:p>
    <w:p w:rsidR="00F14640" w:rsidRPr="00F14640" w:rsidRDefault="00F14640" w:rsidP="00F14640">
      <w:pPr>
        <w:pStyle w:val="NormalWeb"/>
        <w:rPr>
          <w:rFonts w:ascii="Calibri" w:hAnsi="Calibri" w:cs="Calibri"/>
        </w:rPr>
      </w:pPr>
      <w:r w:rsidRPr="00F14640">
        <w:rPr>
          <w:rFonts w:ascii="Calibri" w:hAnsi="Calibri" w:cs="Calibri"/>
          <w:b/>
          <w:bCs/>
        </w:rPr>
        <w:t xml:space="preserve">Hansen, M. C., P. V. Potapov, R. Moore, M. Hancher, S. A. Turubanova, A. Tyukavina, D. Thau, et al. </w:t>
      </w:r>
      <w:r w:rsidRPr="00F14640">
        <w:rPr>
          <w:rFonts w:ascii="Calibri" w:hAnsi="Calibri" w:cs="Calibri"/>
        </w:rPr>
        <w:t xml:space="preserve">2013. “High-Resolution Global Maps of 21st-Century Forest Cover Change.” </w:t>
      </w:r>
      <w:r w:rsidRPr="00F14640">
        <w:rPr>
          <w:rFonts w:ascii="Calibri" w:hAnsi="Calibri" w:cs="Calibri"/>
          <w:i/>
          <w:iCs/>
        </w:rPr>
        <w:t xml:space="preserve">Science </w:t>
      </w:r>
      <w:r w:rsidRPr="00F14640">
        <w:rPr>
          <w:rFonts w:ascii="Calibri" w:hAnsi="Calibri" w:cs="Calibri"/>
        </w:rPr>
        <w:t xml:space="preserve">342 (6160): 850–53. </w:t>
      </w:r>
    </w:p>
    <w:p w:rsidR="00DE71D2" w:rsidRDefault="00DE71D2" w:rsidP="00DE71D2">
      <w:pPr>
        <w:pStyle w:val="NormalWeb"/>
      </w:pPr>
    </w:p>
    <w:p w:rsidR="00B42513" w:rsidRPr="00B42513" w:rsidRDefault="00A34718" w:rsidP="00DE71D2">
      <w:pPr>
        <w:pStyle w:val="NormalWeb"/>
        <w:rPr>
          <w:rFonts w:ascii="Calibri" w:hAnsi="Calibri" w:cs="Calibri"/>
        </w:rPr>
      </w:pPr>
      <w:r>
        <w:rPr>
          <w:rFonts w:ascii="Calibri" w:hAnsi="Calibri" w:cs="Calibri"/>
          <w:u w:val="single"/>
        </w:rPr>
        <w:t>Discussion and Next Steps</w:t>
      </w:r>
    </w:p>
    <w:p w:rsidR="00B42513" w:rsidRDefault="00A34718" w:rsidP="00A34718">
      <w:pPr>
        <w:pStyle w:val="NormalWeb"/>
        <w:numPr>
          <w:ilvl w:val="0"/>
          <w:numId w:val="2"/>
        </w:numPr>
        <w:rPr>
          <w:rFonts w:ascii="Calibri" w:hAnsi="Calibri" w:cs="Calibri"/>
        </w:rPr>
      </w:pPr>
      <w:r>
        <w:rPr>
          <w:rFonts w:ascii="Calibri" w:hAnsi="Calibri" w:cs="Calibri"/>
        </w:rPr>
        <w:t>Contrary to the findings of the Nigeria paper, the preliminary Tanzania regression results indicate that there is no statistically significant relationship between deforestation and malaria incidence in children under 5.</w:t>
      </w:r>
    </w:p>
    <w:p w:rsidR="00A34718" w:rsidRDefault="00A34718" w:rsidP="00304C10">
      <w:pPr>
        <w:pStyle w:val="NormalWeb"/>
        <w:numPr>
          <w:ilvl w:val="0"/>
          <w:numId w:val="2"/>
        </w:numPr>
        <w:rPr>
          <w:rFonts w:ascii="Calibri" w:hAnsi="Calibri" w:cs="Calibri"/>
        </w:rPr>
      </w:pPr>
      <w:r>
        <w:rPr>
          <w:rFonts w:ascii="Calibri" w:hAnsi="Calibri" w:cs="Calibri"/>
        </w:rPr>
        <w:t xml:space="preserve">Further investigation is required identify other necessary spatial control variables. The Nigeria paper included nighttime lights, soil, and altitude as additional controls. </w:t>
      </w:r>
    </w:p>
    <w:p w:rsidR="00304C10" w:rsidRDefault="00304C10" w:rsidP="00304C10">
      <w:pPr>
        <w:pStyle w:val="NormalWeb"/>
        <w:rPr>
          <w:rFonts w:ascii="Calibri" w:hAnsi="Calibri" w:cs="Calibri"/>
        </w:rPr>
      </w:pPr>
      <w:r>
        <w:rPr>
          <w:rFonts w:ascii="Calibri" w:hAnsi="Calibri" w:cs="Calibri"/>
          <w:u w:val="single"/>
        </w:rPr>
        <w:lastRenderedPageBreak/>
        <w:t>Acknowledgements</w:t>
      </w:r>
      <w:bookmarkStart w:id="0" w:name="_GoBack"/>
      <w:bookmarkEnd w:id="0"/>
    </w:p>
    <w:p w:rsidR="00304C10" w:rsidRPr="00304C10" w:rsidRDefault="00304C10" w:rsidP="00304C10">
      <w:pPr>
        <w:pStyle w:val="NormalWeb"/>
        <w:rPr>
          <w:rFonts w:ascii="Calibri" w:hAnsi="Calibri" w:cs="Calibri"/>
        </w:rPr>
      </w:pPr>
      <w:r>
        <w:rPr>
          <w:rFonts w:ascii="Calibri" w:hAnsi="Calibri" w:cs="Calibri"/>
        </w:rPr>
        <w:t>I would like to thank Professors Berazneva and Byker for the opportunity to conduct this research as well as all their support in the process. I would also like to thank fellow research assistant Trish</w:t>
      </w:r>
      <w:r w:rsidR="006D4122">
        <w:rPr>
          <w:rFonts w:ascii="Calibri" w:hAnsi="Calibri" w:cs="Calibri"/>
        </w:rPr>
        <w:t>a Singh, Professor Joe Holler, Bill Hegman, and Nathan Beningson for their assistance. Lastly, this work would not have been possible without online help forums and numerous user-written packages.</w:t>
      </w:r>
    </w:p>
    <w:p w:rsidR="00401D28" w:rsidRPr="00715991" w:rsidRDefault="00401D28" w:rsidP="00715991"/>
    <w:sectPr w:rsidR="00401D28" w:rsidRPr="00715991" w:rsidSect="00440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LTStd">
    <w:altName w:val="Times New Roman"/>
    <w:panose1 w:val="020B0604020202020204"/>
    <w:charset w:val="00"/>
    <w:family w:val="roman"/>
    <w:notTrueType/>
    <w:pitch w:val="default"/>
  </w:font>
  <w:font w:name="Uni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80636"/>
    <w:multiLevelType w:val="hybridMultilevel"/>
    <w:tmpl w:val="1062CC12"/>
    <w:lvl w:ilvl="0" w:tplc="B284E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9D420A"/>
    <w:multiLevelType w:val="hybridMultilevel"/>
    <w:tmpl w:val="CB8E7B32"/>
    <w:lvl w:ilvl="0" w:tplc="083AE4F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FE"/>
    <w:rsid w:val="001247FE"/>
    <w:rsid w:val="00304C10"/>
    <w:rsid w:val="00401D28"/>
    <w:rsid w:val="00440449"/>
    <w:rsid w:val="004B5F11"/>
    <w:rsid w:val="005829D2"/>
    <w:rsid w:val="005E54FC"/>
    <w:rsid w:val="006D4122"/>
    <w:rsid w:val="00715991"/>
    <w:rsid w:val="009A21F0"/>
    <w:rsid w:val="00A34718"/>
    <w:rsid w:val="00A87322"/>
    <w:rsid w:val="00AC52A3"/>
    <w:rsid w:val="00B42513"/>
    <w:rsid w:val="00C31710"/>
    <w:rsid w:val="00CC4E4F"/>
    <w:rsid w:val="00DE71D2"/>
    <w:rsid w:val="00EE6BAB"/>
    <w:rsid w:val="00F146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8278"/>
  <w14:defaultImageDpi w14:val="32767"/>
  <w15:chartTrackingRefBased/>
  <w15:docId w15:val="{3C5089B4-58F1-7F40-93D5-88DD1F6D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1D2"/>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CC4E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84706">
      <w:bodyDiv w:val="1"/>
      <w:marLeft w:val="0"/>
      <w:marRight w:val="0"/>
      <w:marTop w:val="0"/>
      <w:marBottom w:val="0"/>
      <w:divBdr>
        <w:top w:val="none" w:sz="0" w:space="0" w:color="auto"/>
        <w:left w:val="none" w:sz="0" w:space="0" w:color="auto"/>
        <w:bottom w:val="none" w:sz="0" w:space="0" w:color="auto"/>
        <w:right w:val="none" w:sz="0" w:space="0" w:color="auto"/>
      </w:divBdr>
      <w:divsChild>
        <w:div w:id="222911768">
          <w:marLeft w:val="0"/>
          <w:marRight w:val="0"/>
          <w:marTop w:val="0"/>
          <w:marBottom w:val="0"/>
          <w:divBdr>
            <w:top w:val="none" w:sz="0" w:space="0" w:color="auto"/>
            <w:left w:val="none" w:sz="0" w:space="0" w:color="auto"/>
            <w:bottom w:val="none" w:sz="0" w:space="0" w:color="auto"/>
            <w:right w:val="none" w:sz="0" w:space="0" w:color="auto"/>
          </w:divBdr>
          <w:divsChild>
            <w:div w:id="1313876838">
              <w:marLeft w:val="0"/>
              <w:marRight w:val="0"/>
              <w:marTop w:val="0"/>
              <w:marBottom w:val="0"/>
              <w:divBdr>
                <w:top w:val="none" w:sz="0" w:space="0" w:color="auto"/>
                <w:left w:val="none" w:sz="0" w:space="0" w:color="auto"/>
                <w:bottom w:val="none" w:sz="0" w:space="0" w:color="auto"/>
                <w:right w:val="none" w:sz="0" w:space="0" w:color="auto"/>
              </w:divBdr>
              <w:divsChild>
                <w:div w:id="18691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273420">
      <w:bodyDiv w:val="1"/>
      <w:marLeft w:val="0"/>
      <w:marRight w:val="0"/>
      <w:marTop w:val="0"/>
      <w:marBottom w:val="0"/>
      <w:divBdr>
        <w:top w:val="none" w:sz="0" w:space="0" w:color="auto"/>
        <w:left w:val="none" w:sz="0" w:space="0" w:color="auto"/>
        <w:bottom w:val="none" w:sz="0" w:space="0" w:color="auto"/>
        <w:right w:val="none" w:sz="0" w:space="0" w:color="auto"/>
      </w:divBdr>
      <w:divsChild>
        <w:div w:id="1093621636">
          <w:marLeft w:val="0"/>
          <w:marRight w:val="0"/>
          <w:marTop w:val="0"/>
          <w:marBottom w:val="0"/>
          <w:divBdr>
            <w:top w:val="none" w:sz="0" w:space="0" w:color="auto"/>
            <w:left w:val="none" w:sz="0" w:space="0" w:color="auto"/>
            <w:bottom w:val="none" w:sz="0" w:space="0" w:color="auto"/>
            <w:right w:val="none" w:sz="0" w:space="0" w:color="auto"/>
          </w:divBdr>
          <w:divsChild>
            <w:div w:id="1847554625">
              <w:marLeft w:val="0"/>
              <w:marRight w:val="0"/>
              <w:marTop w:val="0"/>
              <w:marBottom w:val="0"/>
              <w:divBdr>
                <w:top w:val="none" w:sz="0" w:space="0" w:color="auto"/>
                <w:left w:val="none" w:sz="0" w:space="0" w:color="auto"/>
                <w:bottom w:val="none" w:sz="0" w:space="0" w:color="auto"/>
                <w:right w:val="none" w:sz="0" w:space="0" w:color="auto"/>
              </w:divBdr>
              <w:divsChild>
                <w:div w:id="1208032504">
                  <w:marLeft w:val="0"/>
                  <w:marRight w:val="0"/>
                  <w:marTop w:val="0"/>
                  <w:marBottom w:val="0"/>
                  <w:divBdr>
                    <w:top w:val="none" w:sz="0" w:space="0" w:color="auto"/>
                    <w:left w:val="none" w:sz="0" w:space="0" w:color="auto"/>
                    <w:bottom w:val="none" w:sz="0" w:space="0" w:color="auto"/>
                    <w:right w:val="none" w:sz="0" w:space="0" w:color="auto"/>
                  </w:divBdr>
                  <w:divsChild>
                    <w:div w:id="2039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68844">
      <w:bodyDiv w:val="1"/>
      <w:marLeft w:val="0"/>
      <w:marRight w:val="0"/>
      <w:marTop w:val="0"/>
      <w:marBottom w:val="0"/>
      <w:divBdr>
        <w:top w:val="none" w:sz="0" w:space="0" w:color="auto"/>
        <w:left w:val="none" w:sz="0" w:space="0" w:color="auto"/>
        <w:bottom w:val="none" w:sz="0" w:space="0" w:color="auto"/>
        <w:right w:val="none" w:sz="0" w:space="0" w:color="auto"/>
      </w:divBdr>
      <w:divsChild>
        <w:div w:id="1619753533">
          <w:marLeft w:val="0"/>
          <w:marRight w:val="0"/>
          <w:marTop w:val="0"/>
          <w:marBottom w:val="0"/>
          <w:divBdr>
            <w:top w:val="none" w:sz="0" w:space="0" w:color="auto"/>
            <w:left w:val="none" w:sz="0" w:space="0" w:color="auto"/>
            <w:bottom w:val="none" w:sz="0" w:space="0" w:color="auto"/>
            <w:right w:val="none" w:sz="0" w:space="0" w:color="auto"/>
          </w:divBdr>
          <w:divsChild>
            <w:div w:id="855313378">
              <w:marLeft w:val="0"/>
              <w:marRight w:val="0"/>
              <w:marTop w:val="0"/>
              <w:marBottom w:val="0"/>
              <w:divBdr>
                <w:top w:val="none" w:sz="0" w:space="0" w:color="auto"/>
                <w:left w:val="none" w:sz="0" w:space="0" w:color="auto"/>
                <w:bottom w:val="none" w:sz="0" w:space="0" w:color="auto"/>
                <w:right w:val="none" w:sz="0" w:space="0" w:color="auto"/>
              </w:divBdr>
              <w:divsChild>
                <w:div w:id="14872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992">
      <w:bodyDiv w:val="1"/>
      <w:marLeft w:val="0"/>
      <w:marRight w:val="0"/>
      <w:marTop w:val="0"/>
      <w:marBottom w:val="0"/>
      <w:divBdr>
        <w:top w:val="none" w:sz="0" w:space="0" w:color="auto"/>
        <w:left w:val="none" w:sz="0" w:space="0" w:color="auto"/>
        <w:bottom w:val="none" w:sz="0" w:space="0" w:color="auto"/>
        <w:right w:val="none" w:sz="0" w:space="0" w:color="auto"/>
      </w:divBdr>
      <w:divsChild>
        <w:div w:id="1361542297">
          <w:marLeft w:val="0"/>
          <w:marRight w:val="0"/>
          <w:marTop w:val="0"/>
          <w:marBottom w:val="0"/>
          <w:divBdr>
            <w:top w:val="none" w:sz="0" w:space="0" w:color="auto"/>
            <w:left w:val="none" w:sz="0" w:space="0" w:color="auto"/>
            <w:bottom w:val="none" w:sz="0" w:space="0" w:color="auto"/>
            <w:right w:val="none" w:sz="0" w:space="0" w:color="auto"/>
          </w:divBdr>
          <w:divsChild>
            <w:div w:id="1356272320">
              <w:marLeft w:val="0"/>
              <w:marRight w:val="0"/>
              <w:marTop w:val="0"/>
              <w:marBottom w:val="0"/>
              <w:divBdr>
                <w:top w:val="none" w:sz="0" w:space="0" w:color="auto"/>
                <w:left w:val="none" w:sz="0" w:space="0" w:color="auto"/>
                <w:bottom w:val="none" w:sz="0" w:space="0" w:color="auto"/>
                <w:right w:val="none" w:sz="0" w:space="0" w:color="auto"/>
              </w:divBdr>
              <w:divsChild>
                <w:div w:id="12484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2802">
      <w:bodyDiv w:val="1"/>
      <w:marLeft w:val="0"/>
      <w:marRight w:val="0"/>
      <w:marTop w:val="0"/>
      <w:marBottom w:val="0"/>
      <w:divBdr>
        <w:top w:val="none" w:sz="0" w:space="0" w:color="auto"/>
        <w:left w:val="none" w:sz="0" w:space="0" w:color="auto"/>
        <w:bottom w:val="none" w:sz="0" w:space="0" w:color="auto"/>
        <w:right w:val="none" w:sz="0" w:space="0" w:color="auto"/>
      </w:divBdr>
      <w:divsChild>
        <w:div w:id="930815707">
          <w:marLeft w:val="0"/>
          <w:marRight w:val="0"/>
          <w:marTop w:val="0"/>
          <w:marBottom w:val="0"/>
          <w:divBdr>
            <w:top w:val="none" w:sz="0" w:space="0" w:color="auto"/>
            <w:left w:val="none" w:sz="0" w:space="0" w:color="auto"/>
            <w:bottom w:val="none" w:sz="0" w:space="0" w:color="auto"/>
            <w:right w:val="none" w:sz="0" w:space="0" w:color="auto"/>
          </w:divBdr>
          <w:divsChild>
            <w:div w:id="785581565">
              <w:marLeft w:val="0"/>
              <w:marRight w:val="0"/>
              <w:marTop w:val="0"/>
              <w:marBottom w:val="0"/>
              <w:divBdr>
                <w:top w:val="none" w:sz="0" w:space="0" w:color="auto"/>
                <w:left w:val="none" w:sz="0" w:space="0" w:color="auto"/>
                <w:bottom w:val="none" w:sz="0" w:space="0" w:color="auto"/>
                <w:right w:val="none" w:sz="0" w:space="0" w:color="auto"/>
              </w:divBdr>
              <w:divsChild>
                <w:div w:id="1816097237">
                  <w:marLeft w:val="0"/>
                  <w:marRight w:val="0"/>
                  <w:marTop w:val="0"/>
                  <w:marBottom w:val="0"/>
                  <w:divBdr>
                    <w:top w:val="none" w:sz="0" w:space="0" w:color="auto"/>
                    <w:left w:val="none" w:sz="0" w:space="0" w:color="auto"/>
                    <w:bottom w:val="none" w:sz="0" w:space="0" w:color="auto"/>
                    <w:right w:val="none" w:sz="0" w:space="0" w:color="auto"/>
                  </w:divBdr>
                  <w:divsChild>
                    <w:div w:id="4085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99616">
      <w:bodyDiv w:val="1"/>
      <w:marLeft w:val="0"/>
      <w:marRight w:val="0"/>
      <w:marTop w:val="0"/>
      <w:marBottom w:val="0"/>
      <w:divBdr>
        <w:top w:val="none" w:sz="0" w:space="0" w:color="auto"/>
        <w:left w:val="none" w:sz="0" w:space="0" w:color="auto"/>
        <w:bottom w:val="none" w:sz="0" w:space="0" w:color="auto"/>
        <w:right w:val="none" w:sz="0" w:space="0" w:color="auto"/>
      </w:divBdr>
    </w:div>
    <w:div w:id="1529559095">
      <w:bodyDiv w:val="1"/>
      <w:marLeft w:val="0"/>
      <w:marRight w:val="0"/>
      <w:marTop w:val="0"/>
      <w:marBottom w:val="0"/>
      <w:divBdr>
        <w:top w:val="none" w:sz="0" w:space="0" w:color="auto"/>
        <w:left w:val="none" w:sz="0" w:space="0" w:color="auto"/>
        <w:bottom w:val="none" w:sz="0" w:space="0" w:color="auto"/>
        <w:right w:val="none" w:sz="0" w:space="0" w:color="auto"/>
      </w:divBdr>
      <w:divsChild>
        <w:div w:id="720907469">
          <w:marLeft w:val="0"/>
          <w:marRight w:val="0"/>
          <w:marTop w:val="0"/>
          <w:marBottom w:val="0"/>
          <w:divBdr>
            <w:top w:val="none" w:sz="0" w:space="0" w:color="auto"/>
            <w:left w:val="none" w:sz="0" w:space="0" w:color="auto"/>
            <w:bottom w:val="none" w:sz="0" w:space="0" w:color="auto"/>
            <w:right w:val="none" w:sz="0" w:space="0" w:color="auto"/>
          </w:divBdr>
          <w:divsChild>
            <w:div w:id="869340259">
              <w:marLeft w:val="0"/>
              <w:marRight w:val="0"/>
              <w:marTop w:val="0"/>
              <w:marBottom w:val="0"/>
              <w:divBdr>
                <w:top w:val="none" w:sz="0" w:space="0" w:color="auto"/>
                <w:left w:val="none" w:sz="0" w:space="0" w:color="auto"/>
                <w:bottom w:val="none" w:sz="0" w:space="0" w:color="auto"/>
                <w:right w:val="none" w:sz="0" w:space="0" w:color="auto"/>
              </w:divBdr>
              <w:divsChild>
                <w:div w:id="17108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Jonah Leo</dc:creator>
  <cp:keywords/>
  <dc:description/>
  <cp:lastModifiedBy>Simon, Jonah Leo</cp:lastModifiedBy>
  <cp:revision>10</cp:revision>
  <dcterms:created xsi:type="dcterms:W3CDTF">2018-04-18T08:00:00Z</dcterms:created>
  <dcterms:modified xsi:type="dcterms:W3CDTF">2018-04-18T19:26:00Z</dcterms:modified>
</cp:coreProperties>
</file>