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Repositioning Brief: From Inventory System to Decision Agent</w:t>
      </w:r>
    </w:p>
    <w:p>
      <w:pPr>
        <w:spacing w:line="360" w:lineRule="auto"/>
        <w:jc w:val="both"/>
      </w:pPr>
      <w:r>
        <w:rPr>
          <w:rFonts w:ascii="Times New Roman" w:hAnsi="Times New Roman"/>
          <w:b/>
        </w:rPr>
        <w:t>Project:</w:t>
      </w:r>
      <w:r>
        <w:rPr>
          <w:rFonts w:ascii="Times New Roman" w:hAnsi="Times New Roman"/>
          <w:b w:val="0"/>
        </w:rPr>
        <w:t xml:space="preserve"> LogicSynapse AI</w:t>
      </w:r>
    </w:p>
    <w:p>
      <w:pPr>
        <w:spacing w:line="360" w:lineRule="auto"/>
        <w:jc w:val="both"/>
      </w:pPr>
      <w:r>
        <w:rPr>
          <w:rFonts w:ascii="Times New Roman" w:hAnsi="Times New Roman"/>
          <w:b/>
        </w:rPr>
        <w:t>Course:</w:t>
      </w:r>
      <w:r>
        <w:rPr>
          <w:rFonts w:ascii="Times New Roman" w:hAnsi="Times New Roman"/>
          <w:b w:val="0"/>
        </w:rPr>
        <w:t xml:space="preserve"> BSE 4100, Year 4 Semester 1</w:t>
      </w:r>
    </w:p>
    <w:p>
      <w:pPr>
        <w:spacing w:line="360" w:lineRule="auto"/>
        <w:jc w:val="both"/>
      </w:pPr>
      <w:r>
        <w:rPr>
          <w:rFonts w:ascii="Times New Roman" w:hAnsi="Times New Roman"/>
          <w:b/>
        </w:rPr>
        <w:t>Prepared:</w:t>
      </w:r>
      <w:r>
        <w:rPr>
          <w:rFonts w:ascii="Times New Roman" w:hAnsi="Times New Roman"/>
          <w:b w:val="0"/>
        </w:rPr>
        <w:t xml:space="preserve"> 16 September 2026</w:t>
      </w:r>
    </w:p>
    <w:p>
      <w:pPr>
        <w:spacing w:line="360" w:lineRule="auto"/>
        <w:jc w:val="both"/>
      </w:pPr>
      <w:r>
        <w:rPr>
          <w:rFonts w:ascii="Times New Roman" w:hAnsi="Times New Roman"/>
          <w:b/>
        </w:rPr>
        <w:t>For:</w:t>
      </w:r>
      <w:r>
        <w:rPr>
          <w:rFonts w:ascii="Times New Roman" w:hAnsi="Times New Roman"/>
          <w:b w:val="0"/>
        </w:rPr>
        <w:t xml:space="preserve"> Jonathan Katongole, Dev Johnson, Bridget Bataringaya, Isaac Mwesigwa</w:t>
      </w:r>
    </w:p>
    <w:p>
      <w:pPr>
        <w:pStyle w:val="Heading2"/>
      </w:pPr>
      <w:r>
        <w:rPr>
          <w:rFonts w:ascii="Times New Roman" w:hAnsi="Times New Roman"/>
        </w:rPr>
        <w:t>1. Why this brief exists</w:t>
      </w:r>
    </w:p>
    <w:p>
      <w:pPr>
        <w:spacing w:line="360" w:lineRule="auto"/>
        <w:jc w:val="both"/>
      </w:pPr>
      <w:r>
        <w:rPr>
          <w:rFonts w:ascii="Times New Roman" w:hAnsi="Times New Roman"/>
          <w:b w:val="0"/>
        </w:rPr>
        <w:t>The concept paper as written describes the project as an inventory control system. The course coordinator's BSE 4100 Overview deck, slide 12, titled "PROJECTS YOU MUST NOT DO", lists "Inventory management" explicitly. Slide 11 adds that a project must not consist of "only basic data entry and retrieval", and that information systems must show data analytics.</w:t>
      </w:r>
    </w:p>
    <w:p>
      <w:pPr>
        <w:spacing w:line="360" w:lineRule="auto"/>
        <w:jc w:val="both"/>
      </w:pPr>
      <w:r>
        <w:rPr>
          <w:rFonts w:ascii="Times New Roman" w:hAnsi="Times New Roman"/>
          <w:b w:val="0"/>
        </w:rPr>
        <w:t>This is a disqualification risk, not a branding concern. Slide 4 states that a student who fails BSE 4100 must not proceed to BSE 4200.</w:t>
      </w:r>
    </w:p>
    <w:p>
      <w:pPr>
        <w:spacing w:line="360" w:lineRule="auto"/>
        <w:jc w:val="both"/>
      </w:pPr>
      <w:r>
        <w:rPr>
          <w:rFonts w:ascii="Times New Roman" w:hAnsi="Times New Roman"/>
          <w:b w:val="0"/>
        </w:rPr>
        <w:t xml:space="preserve">The project itself is sound and is not an inventory management system. It has simply been described in inventory vocabulary. This brief fixes the description. </w:t>
      </w:r>
      <w:r>
        <w:rPr>
          <w:rFonts w:ascii="Times New Roman" w:hAnsi="Times New Roman"/>
          <w:b/>
        </w:rPr>
        <w:t>No part of the project is being changed or dropped.</w:t>
      </w:r>
    </w:p>
    <w:p>
      <w:pPr>
        <w:pStyle w:val="Heading2"/>
      </w:pPr>
      <w:r>
        <w:rPr>
          <w:rFonts w:ascii="Times New Roman" w:hAnsi="Times New Roman"/>
        </w:rPr>
        <w:t>2. The single change that fixes everything</w:t>
      </w:r>
    </w:p>
    <w:p>
      <w:pPr>
        <w:spacing w:line="360" w:lineRule="auto"/>
        <w:jc w:val="both"/>
      </w:pPr>
      <w:r>
        <w:rPr>
          <w:rFonts w:ascii="Times New Roman" w:hAnsi="Times New Roman"/>
          <w:b w:val="0"/>
        </w:rPr>
        <w:t xml:space="preserve">The project has been </w:t>
      </w:r>
      <w:r>
        <w:rPr>
          <w:rFonts w:ascii="Times New Roman" w:hAnsi="Times New Roman"/>
          <w:b/>
        </w:rPr>
        <w:t>described</w:t>
      </w:r>
      <w:r>
        <w:rPr>
          <w:rFonts w:ascii="Times New Roman" w:hAnsi="Times New Roman"/>
          <w:b w:val="0"/>
        </w:rPr>
        <w:t xml:space="preserve"> by its </w:t>
      </w:r>
      <w:r>
        <w:rPr>
          <w:rFonts w:ascii="Times New Roman" w:hAnsi="Times New Roman"/>
          <w:b/>
        </w:rPr>
        <w:t>data source</w:t>
      </w:r>
      <w:r>
        <w:rPr>
          <w:rFonts w:ascii="Times New Roman" w:hAnsi="Times New Roman"/>
          <w:b w:val="0"/>
        </w:rPr>
        <w:t xml:space="preserve"> instead of by its </w:t>
      </w:r>
      <w:r>
        <w:rPr>
          <w:rFonts w:ascii="Times New Roman" w:hAnsi="Times New Roman"/>
          <w:b/>
        </w:rPr>
        <w:t>decision</w:t>
      </w:r>
      <w:r>
        <w:rPr>
          <w:rFonts w:ascii="Times New Roman" w:hAnsi="Times New Roman"/>
          <w:b w:val="0"/>
        </w:rPr>
        <w:t>.</w:t>
      </w:r>
    </w:p>
    <w:p>
      <w:pPr>
        <w:spacing w:line="360" w:lineRule="auto"/>
        <w:jc w:val="both"/>
      </w:pPr>
      <w:r>
        <w:rPr>
          <w:rFonts w:ascii="Times New Roman" w:hAnsi="Times New Roman"/>
          <w:b w:val="0"/>
        </w:rPr>
        <w:t>Inventory is the input. The output is a capital commitment decision. Those are two different projects, and only one of them appears on the banned list.</w:t>
      </w:r>
    </w:p>
    <w:p>
      <w:pPr>
        <w:spacing w:after="40"/>
        <w:jc w:val="left"/>
      </w:pPr>
      <w:r>
        <w:rPr>
          <w:rFonts w:ascii="Times New Roman" w:hAnsi="Times New Roman"/>
          <w:b/>
          <w:sz w:val="22"/>
        </w:rPr>
        <w:t xml:space="preserve">Table 1: </w:t>
      </w:r>
      <w:r>
        <w:rPr>
          <w:rFonts w:ascii="Times New Roman" w:hAnsi="Times New Roman"/>
          <w:sz w:val="22"/>
        </w:rPr>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after="40"/>
            </w:pPr>
            <w:r>
              <w:rPr>
                <w:rFonts w:ascii="Times New Roman" w:hAnsi="Times New Roman"/>
                <w:b/>
                <w:sz w:val="20"/>
              </w:rPr>
            </w:r>
            <w:r>
              <w:rPr>
                <w:rFonts w:ascii="Times New Roman" w:hAnsi="Times New Roman"/>
                <w:b/>
                <w:sz w:val="20"/>
              </w:rPr>
              <w:t>Currently described as</w:t>
            </w:r>
          </w:p>
        </w:tc>
        <w:tc>
          <w:tcPr>
            <w:tcW w:type="dxa" w:w="4680"/>
          </w:tcPr>
          <w:p>
            <w:pPr>
              <w:spacing w:line="240" w:lineRule="auto" w:after="40"/>
            </w:pPr>
            <w:r>
              <w:rPr>
                <w:rFonts w:ascii="Times New Roman" w:hAnsi="Times New Roman"/>
                <w:b/>
                <w:sz w:val="20"/>
              </w:rPr>
            </w:r>
            <w:r>
              <w:rPr>
                <w:rFonts w:ascii="Times New Roman" w:hAnsi="Times New Roman"/>
                <w:b/>
                <w:sz w:val="20"/>
              </w:rPr>
              <w:t>Should be described as</w:t>
            </w:r>
          </w:p>
        </w:tc>
      </w:tr>
      <w:tr>
        <w:tc>
          <w:tcPr>
            <w:tcW w:type="dxa" w:w="4680"/>
          </w:tcPr>
          <w:p>
            <w:pPr>
              <w:spacing w:line="240" w:lineRule="auto" w:after="40"/>
            </w:pPr>
            <w:r>
              <w:rPr>
                <w:rFonts w:ascii="Times New Roman" w:hAnsi="Times New Roman"/>
                <w:b w:val="0"/>
                <w:sz w:val="20"/>
              </w:rPr>
            </w:r>
            <w:r>
              <w:rPr>
                <w:rFonts w:ascii="Times New Roman" w:hAnsi="Times New Roman"/>
                <w:b w:val="0"/>
                <w:sz w:val="20"/>
              </w:rPr>
              <w:t>Tracking stock levels across distribution centres</w:t>
            </w:r>
          </w:p>
        </w:tc>
        <w:tc>
          <w:tcPr>
            <w:tcW w:type="dxa" w:w="4680"/>
          </w:tcPr>
          <w:p>
            <w:pPr>
              <w:spacing w:line="240" w:lineRule="auto" w:after="40"/>
            </w:pPr>
            <w:r>
              <w:rPr>
                <w:rFonts w:ascii="Times New Roman" w:hAnsi="Times New Roman"/>
                <w:b w:val="0"/>
                <w:sz w:val="20"/>
              </w:rPr>
            </w:r>
            <w:r>
              <w:rPr>
                <w:rFonts w:ascii="Times New Roman" w:hAnsi="Times New Roman"/>
                <w:b w:val="0"/>
                <w:sz w:val="20"/>
              </w:rPr>
              <w:t>Deciding how much capital to commit, and when</w:t>
            </w:r>
          </w:p>
        </w:tc>
      </w:tr>
      <w:tr>
        <w:tc>
          <w:tcPr>
            <w:tcW w:type="dxa" w:w="4680"/>
          </w:tcPr>
          <w:p>
            <w:pPr>
              <w:spacing w:line="240" w:lineRule="auto" w:after="40"/>
            </w:pPr>
            <w:r>
              <w:rPr>
                <w:rFonts w:ascii="Times New Roman" w:hAnsi="Times New Roman"/>
                <w:b w:val="0"/>
                <w:sz w:val="20"/>
              </w:rPr>
            </w:r>
            <w:r>
              <w:rPr>
                <w:rFonts w:ascii="Times New Roman" w:hAnsi="Times New Roman"/>
                <w:b w:val="0"/>
                <w:sz w:val="20"/>
              </w:rPr>
              <w:t>Preventing stockouts</w:t>
            </w:r>
          </w:p>
        </w:tc>
        <w:tc>
          <w:tcPr>
            <w:tcW w:type="dxa" w:w="4680"/>
          </w:tcPr>
          <w:p>
            <w:pPr>
              <w:spacing w:line="240" w:lineRule="auto" w:after="40"/>
            </w:pPr>
            <w:r>
              <w:rPr>
                <w:rFonts w:ascii="Times New Roman" w:hAnsi="Times New Roman"/>
                <w:b w:val="0"/>
                <w:sz w:val="20"/>
              </w:rPr>
            </w:r>
            <w:r>
              <w:rPr>
                <w:rFonts w:ascii="Times New Roman" w:hAnsi="Times New Roman"/>
                <w:b w:val="0"/>
                <w:sz w:val="20"/>
              </w:rPr>
              <w:t>Preventing irreversible over-commitment and missed seasonal windows</w:t>
            </w:r>
          </w:p>
        </w:tc>
      </w:tr>
      <w:tr>
        <w:tc>
          <w:tcPr>
            <w:tcW w:type="dxa" w:w="4680"/>
          </w:tcPr>
          <w:p>
            <w:pPr>
              <w:spacing w:line="240" w:lineRule="auto" w:after="40"/>
            </w:pPr>
            <w:r>
              <w:rPr>
                <w:rFonts w:ascii="Times New Roman" w:hAnsi="Times New Roman"/>
                <w:b w:val="0"/>
                <w:sz w:val="20"/>
              </w:rPr>
            </w:r>
            <w:r>
              <w:rPr>
                <w:rFonts w:ascii="Times New Roman" w:hAnsi="Times New Roman"/>
                <w:b w:val="0"/>
                <w:sz w:val="20"/>
              </w:rPr>
              <w:t>Inventory optimisation platform</w:t>
            </w:r>
          </w:p>
        </w:tc>
        <w:tc>
          <w:tcPr>
            <w:tcW w:type="dxa" w:w="4680"/>
          </w:tcPr>
          <w:p>
            <w:pPr>
              <w:spacing w:line="240" w:lineRule="auto" w:after="40"/>
            </w:pPr>
            <w:r>
              <w:rPr>
                <w:rFonts w:ascii="Times New Roman" w:hAnsi="Times New Roman"/>
                <w:b w:val="0"/>
                <w:sz w:val="20"/>
              </w:rPr>
            </w:r>
            <w:r>
              <w:rPr>
                <w:rFonts w:ascii="Times New Roman" w:hAnsi="Times New Roman"/>
                <w:b w:val="0"/>
                <w:sz w:val="20"/>
              </w:rPr>
              <w:t>Procurement decision agent with human authorisation</w:t>
            </w:r>
          </w:p>
        </w:tc>
      </w:tr>
      <w:tr>
        <w:tc>
          <w:tcPr>
            <w:tcW w:type="dxa" w:w="4680"/>
          </w:tcPr>
          <w:p>
            <w:pPr>
              <w:spacing w:line="240" w:lineRule="auto" w:after="40"/>
            </w:pPr>
            <w:r>
              <w:rPr>
                <w:rFonts w:ascii="Times New Roman" w:hAnsi="Times New Roman"/>
                <w:b w:val="0"/>
                <w:sz w:val="20"/>
              </w:rPr>
            </w:r>
            <w:r>
              <w:rPr>
                <w:rFonts w:ascii="Times New Roman" w:hAnsi="Times New Roman"/>
                <w:b w:val="0"/>
                <w:sz w:val="20"/>
              </w:rPr>
              <w:t>Generic SKUs across regional hubs</w:t>
            </w:r>
          </w:p>
        </w:tc>
        <w:tc>
          <w:tcPr>
            <w:tcW w:type="dxa" w:w="4680"/>
          </w:tcPr>
          <w:p>
            <w:pPr>
              <w:spacing w:line="240" w:lineRule="auto" w:after="40"/>
            </w:pPr>
            <w:r>
              <w:rPr>
                <w:rFonts w:ascii="Times New Roman" w:hAnsi="Times New Roman"/>
                <w:b w:val="0"/>
                <w:sz w:val="20"/>
              </w:rPr>
            </w:r>
            <w:r>
              <w:rPr>
                <w:rFonts w:ascii="Times New Roman" w:hAnsi="Times New Roman"/>
                <w:b w:val="0"/>
                <w:sz w:val="20"/>
              </w:rPr>
              <w:t>Textbook print runs against school term deadlines</w:t>
            </w:r>
          </w:p>
        </w:tc>
      </w:tr>
    </w:tbl>
    <w:p/>
    <w:p>
      <w:pPr>
        <w:pStyle w:val="Heading2"/>
      </w:pPr>
      <w:r>
        <w:rPr>
          <w:rFonts w:ascii="Times New Roman" w:hAnsi="Times New Roman"/>
        </w:rPr>
        <w:t>3. A general engine, validated on one product</w:t>
      </w:r>
    </w:p>
    <w:p>
      <w:pPr>
        <w:spacing w:line="360" w:lineRule="auto"/>
        <w:jc w:val="both"/>
      </w:pPr>
      <w:r>
        <w:rPr>
          <w:rFonts w:ascii="Times New Roman" w:hAnsi="Times New Roman"/>
          <w:b w:val="0"/>
        </w:rPr>
        <w:t>The lecturer asked the team to choose a single product. The team also intends the system to serve any production industry that commits capital ahead of demand. These are not in conflict, because they describe different layers:</w:t>
      </w:r>
    </w:p>
    <w:p>
      <w:pPr>
        <w:pStyle w:val="ListBullet"/>
        <w:spacing w:line="360" w:lineRule="auto"/>
      </w:pPr>
      <w:r>
        <w:rPr>
          <w:rFonts w:ascii="Times New Roman" w:hAnsi="Times New Roman"/>
          <w:b/>
        </w:rPr>
        <w:t>The system is domain-general.</w:t>
      </w:r>
      <w:r>
        <w:rPr>
          <w:rFonts w:ascii="Times New Roman" w:hAnsi="Times New Roman"/>
          <w:b w:val="0"/>
        </w:rPr>
        <w:t xml:space="preserve"> A procurement decision engine for any production industry with supplier lead times, demand variability and irreversible capital commitment. This is the contribution.</w:t>
      </w:r>
    </w:p>
    <w:p>
      <w:pPr>
        <w:pStyle w:val="ListBullet"/>
        <w:spacing w:line="360" w:lineRule="auto"/>
      </w:pPr>
      <w:r>
        <w:rPr>
          <w:rFonts w:ascii="Times New Roman" w:hAnsi="Times New Roman"/>
          <w:b/>
        </w:rPr>
        <w:t>The validation case is a single product.</w:t>
      </w:r>
      <w:r>
        <w:rPr>
          <w:rFonts w:ascii="Times New Roman" w:hAnsi="Times New Roman"/>
          <w:b w:val="0"/>
        </w:rPr>
        <w:t xml:space="preserve"> Textbooks, and the paper behind them. This is the evidence, and it is what satisfies the lecturer's instruction and slide 9's requirement for requirements from actual beneficiaries.</w:t>
      </w:r>
    </w:p>
    <w:p>
      <w:pPr>
        <w:spacing w:line="360" w:lineRule="auto"/>
        <w:jc w:val="both"/>
      </w:pPr>
      <w:r>
        <w:rPr>
          <w:rFonts w:ascii="Times New Roman" w:hAnsi="Times New Roman"/>
          <w:b w:val="0"/>
        </w:rPr>
        <w:t>State both explicitly. "A general procurement decision engine, validated on textbook print runs" is a stronger framing than either half alone, and it is how credible engineering work is normally structured. The generality is then carried in the paper by a named section on generalisability, plus future work naming the other industries the engine extends to.</w:t>
      </w:r>
    </w:p>
    <w:p>
      <w:pPr>
        <w:spacing w:line="360" w:lineRule="auto"/>
        <w:jc w:val="both"/>
      </w:pPr>
      <w:r>
        <w:rPr>
          <w:rFonts w:ascii="Times New Roman" w:hAnsi="Times New Roman"/>
          <w:b w:val="0"/>
        </w:rPr>
        <w:t>Why textbooks are a good validation case rather than a limiting one:</w:t>
      </w:r>
    </w:p>
    <w:p>
      <w:pPr>
        <w:spacing w:line="360" w:lineRule="auto"/>
        <w:jc w:val="both"/>
      </w:pPr>
      <w:r>
        <w:rPr>
          <w:rFonts w:ascii="Times New Roman" w:hAnsi="Times New Roman"/>
          <w:b w:val="0"/>
        </w:rPr>
        <w:t xml:space="preserve">Textbook publishing is not a generic inventory problem. It is a </w:t>
      </w:r>
      <w:r>
        <w:rPr>
          <w:rFonts w:ascii="Times New Roman" w:hAnsi="Times New Roman"/>
          <w:b/>
        </w:rPr>
        <w:t>discrete, irreversible, high-value commitment made months ahead of demand, against a hard seasonal deadline, using imported inputs on long lead times.</w:t>
      </w:r>
      <w:r>
        <w:rPr>
          <w:rFonts w:ascii="Times New Roman" w:hAnsi="Times New Roman"/>
          <w:b w:val="0"/>
        </w:rPr>
        <w:t xml:space="preserve"> It exercises every hard property the general engine must handle, which is exactly what makes it a good test case.</w:t>
      </w:r>
    </w:p>
    <w:p>
      <w:pPr>
        <w:pStyle w:val="ListBullet"/>
        <w:spacing w:line="360" w:lineRule="auto"/>
      </w:pPr>
      <w:r>
        <w:rPr>
          <w:rFonts w:ascii="Times New Roman" w:hAnsi="Times New Roman"/>
          <w:b w:val="0"/>
        </w:rPr>
        <w:t>A publisher decides in one moment how many copies to print. There is no incremental reorder. It is one large, binding commitment.</w:t>
      </w:r>
    </w:p>
    <w:p>
      <w:pPr>
        <w:pStyle w:val="ListBullet"/>
        <w:spacing w:line="360" w:lineRule="auto"/>
      </w:pPr>
      <w:r>
        <w:rPr>
          <w:rFonts w:ascii="Times New Roman" w:hAnsi="Times New Roman"/>
          <w:b w:val="0"/>
        </w:rPr>
        <w:t>The deadline is fixed by the school term. Missing it does not delay the sale, it destroys the sale, because a textbook that arrives after the term started has lost that term's cohort entirely.</w:t>
      </w:r>
    </w:p>
    <w:p>
      <w:pPr>
        <w:pStyle w:val="ListBullet"/>
        <w:spacing w:line="360" w:lineRule="auto"/>
      </w:pPr>
      <w:r>
        <w:rPr>
          <w:rFonts w:ascii="Times New Roman" w:hAnsi="Times New Roman"/>
          <w:b w:val="0"/>
        </w:rPr>
        <w:t>Paper is imported, so lead times are long and variable, and costs are exposed to currency movement before any revenue arrives.</w:t>
      </w:r>
    </w:p>
    <w:p>
      <w:pPr>
        <w:pStyle w:val="ListBullet"/>
        <w:spacing w:line="360" w:lineRule="auto"/>
      </w:pPr>
      <w:r>
        <w:rPr>
          <w:rFonts w:ascii="Times New Roman" w:hAnsi="Times New Roman"/>
          <w:b w:val="0"/>
        </w:rPr>
        <w:t xml:space="preserve">Demand is </w:t>
      </w:r>
      <w:r>
        <w:rPr>
          <w:rFonts w:ascii="Times New Roman" w:hAnsi="Times New Roman"/>
          <w:b/>
        </w:rPr>
        <w:t>non-stationary</w:t>
      </w:r>
      <w:r>
        <w:rPr>
          <w:rFonts w:ascii="Times New Roman" w:hAnsi="Times New Roman"/>
          <w:b w:val="0"/>
        </w:rPr>
        <w:t>. A curriculum revision can reduce demand for a title to zero overnight.</w:t>
      </w:r>
    </w:p>
    <w:p>
      <w:pPr>
        <w:spacing w:line="360" w:lineRule="auto"/>
        <w:jc w:val="both"/>
      </w:pPr>
      <w:r>
        <w:rPr>
          <w:rFonts w:ascii="Times New Roman" w:hAnsi="Times New Roman"/>
          <w:b w:val="0"/>
        </w:rPr>
        <w:t>That last property is a genuine statistical difficulty, and the brief's recommendation is to make it explicit rather than hide it. A project that identifies a hard property of its domain and designs around it is stronger than one that assumes well-behaved data.</w:t>
      </w:r>
    </w:p>
    <w:p>
      <w:pPr>
        <w:pStyle w:val="Heading2"/>
      </w:pPr>
      <w:r>
        <w:rPr>
          <w:rFonts w:ascii="Times New Roman" w:hAnsi="Times New Roman"/>
        </w:rPr>
        <w:t>4. Title: keep it</w:t>
      </w:r>
    </w:p>
    <w:p>
      <w:pPr>
        <w:spacing w:line="360" w:lineRule="auto"/>
        <w:jc w:val="both"/>
      </w:pPr>
      <w:r>
        <w:rPr>
          <w:rFonts w:ascii="Times New Roman" w:hAnsi="Times New Roman"/>
          <w:b/>
        </w:rPr>
        <w:t>Decision: the existing title stands.</w:t>
      </w:r>
      <w:r>
        <w:rPr>
          <w:rFonts w:ascii="Times New Roman" w:hAnsi="Times New Roman"/>
          <w:b w:val="0"/>
        </w:rPr>
        <w:t xml:space="preserve"> "Autonomous Supply Chain Resilience and Procurement Orchestration Platform" has already been submitted and accepted by the lecturer. Changing an accepted title creates a paperwork problem, signals indecision to a supervisor, and gains nothing.</w:t>
      </w:r>
    </w:p>
    <w:p>
      <w:pPr>
        <w:spacing w:line="360" w:lineRule="auto"/>
        <w:jc w:val="both"/>
      </w:pPr>
      <w:r>
        <w:rPr>
          <w:rFonts w:ascii="Times New Roman" w:hAnsi="Times New Roman"/>
          <w:b w:val="0"/>
        </w:rPr>
        <w:t>An earlier draft of this brief recommended renaming. That recommendation was wrong, for a specific reason: the title does not contain the word "inventory". It says supply chain and procurement. The title was never what exposed the project to the banned list.</w:t>
      </w:r>
    </w:p>
    <w:p>
      <w:pPr>
        <w:spacing w:line="360" w:lineRule="auto"/>
        <w:jc w:val="both"/>
      </w:pPr>
      <w:r>
        <w:rPr>
          <w:rFonts w:ascii="Times New Roman" w:hAnsi="Times New Roman"/>
          <w:b/>
        </w:rPr>
        <w:t>The exposure is in the body text, not the title.</w:t>
      </w:r>
      <w:r>
        <w:rPr>
          <w:rFonts w:ascii="Times New Roman" w:hAnsi="Times New Roman"/>
          <w:b w:val="0"/>
        </w:rPr>
        <w:t xml:space="preserve"> Three sentences do most of the damage:</w:t>
      </w:r>
    </w:p>
    <w:p>
      <w:pPr>
        <w:pStyle w:val="ListBullet"/>
        <w:spacing w:line="360" w:lineRule="auto"/>
      </w:pPr>
      <w:r>
        <w:rPr>
          <w:rFonts w:ascii="Times New Roman" w:hAnsi="Times New Roman"/>
          <w:b w:val="0"/>
        </w:rPr>
        <w:t>Executive summary: "transition inventory control from passive record-keeping"</w:t>
      </w:r>
    </w:p>
    <w:p>
      <w:pPr>
        <w:pStyle w:val="ListBullet"/>
        <w:spacing w:line="360" w:lineRule="auto"/>
      </w:pPr>
      <w:r>
        <w:rPr>
          <w:rFonts w:ascii="Times New Roman" w:hAnsi="Times New Roman"/>
          <w:b w:val="0"/>
        </w:rPr>
        <w:t>Executive summary: "Traditional enterprise inventory software operates reactively"</w:t>
      </w:r>
    </w:p>
    <w:p>
      <w:pPr>
        <w:pStyle w:val="ListBullet"/>
        <w:spacing w:line="360" w:lineRule="auto"/>
      </w:pPr>
      <w:r>
        <w:rPr>
          <w:rFonts w:ascii="Times New Roman" w:hAnsi="Times New Roman"/>
          <w:b w:val="0"/>
        </w:rPr>
        <w:t>Section 2 opening: "challenges managing multi-tiered inventory"</w:t>
      </w:r>
    </w:p>
    <w:p>
      <w:pPr>
        <w:spacing w:line="360" w:lineRule="auto"/>
        <w:jc w:val="both"/>
      </w:pPr>
      <w:r>
        <w:rPr>
          <w:rFonts w:ascii="Times New Roman" w:hAnsi="Times New Roman"/>
          <w:b w:val="0"/>
        </w:rPr>
        <w:t>A reader who sees only the title sees a procurement system. A reader who reaches the first paragraph sees an inventory system. Rewrite those sentences in procurement-decision language and the risk is handled, with the title untouched.</w:t>
      </w:r>
    </w:p>
    <w:p>
      <w:pPr>
        <w:spacing w:line="360" w:lineRule="auto"/>
        <w:jc w:val="both"/>
      </w:pPr>
      <w:r>
        <w:rPr>
          <w:rFonts w:ascii="Times New Roman" w:hAnsi="Times New Roman"/>
          <w:b w:val="0"/>
        </w:rPr>
        <w:t xml:space="preserve">Product name stays </w:t>
      </w:r>
      <w:r>
        <w:rPr>
          <w:rFonts w:ascii="Times New Roman" w:hAnsi="Times New Roman"/>
          <w:b/>
        </w:rPr>
        <w:t>LogicSynapse AI</w:t>
      </w:r>
      <w:r>
        <w:rPr>
          <w:rFonts w:ascii="Times New Roman" w:hAnsi="Times New Roman"/>
          <w:b w:val="0"/>
        </w:rPr>
        <w:t>.</w:t>
      </w:r>
    </w:p>
    <w:p>
      <w:pPr>
        <w:pStyle w:val="Heading2"/>
      </w:pPr>
      <w:r>
        <w:rPr>
          <w:rFonts w:ascii="Times New Roman" w:hAnsi="Times New Roman"/>
        </w:rPr>
        <w:t>5. The one-line pitch</w:t>
      </w:r>
    </w:p>
    <w:p>
      <w:pPr>
        <w:spacing w:line="360" w:lineRule="auto"/>
        <w:jc w:val="both"/>
      </w:pPr>
      <w:r>
        <w:rPr>
          <w:rFonts w:ascii="Times New Roman" w:hAnsi="Times New Roman"/>
          <w:b w:val="0"/>
        </w:rPr>
        <w:t>Replace the current executive summary opening with this:</w:t>
      </w:r>
    </w:p>
    <w:p>
      <w:pPr>
        <w:spacing w:line="360" w:lineRule="auto"/>
        <w:ind w:left="576"/>
        <w:jc w:val="both"/>
      </w:pPr>
      <w:r>
        <w:rPr>
          <w:rFonts w:ascii="Times New Roman" w:hAnsi="Times New Roman"/>
          <w:b w:val="0"/>
          <w:i/>
        </w:rPr>
        <w:t>Ugandan publishers commit to a print run months before they know demand. Print too many and the cash is pulped. Print too few and you lose an entire school term, because there is no second chance at a term. LogicSynapse is an AI agent that makes that call, shows its reasoning line by line, and waits for a human to approve before a single shilling is spent.</w:t>
      </w:r>
    </w:p>
    <w:p>
      <w:pPr>
        <w:spacing w:line="360" w:lineRule="auto"/>
        <w:jc w:val="both"/>
      </w:pPr>
      <w:r>
        <w:rPr>
          <w:rFonts w:ascii="Times New Roman" w:hAnsi="Times New Roman"/>
          <w:b w:val="0"/>
        </w:rPr>
        <w:t>Fifteen seconds, names the beneficiary, names the money, names the consequence, and contains no banned vocabulary.</w:t>
      </w:r>
    </w:p>
    <w:p>
      <w:pPr>
        <w:spacing w:line="360" w:lineRule="auto"/>
        <w:jc w:val="both"/>
      </w:pPr>
      <w:r>
        <w:rPr>
          <w:rFonts w:ascii="Times New Roman" w:hAnsi="Times New Roman"/>
          <w:b w:val="0"/>
        </w:rPr>
        <w:t>Where the general framing is needed instead, for example when the audience is not publishing-specific, use this and then drop into the textbook case as the worked example:</w:t>
      </w:r>
    </w:p>
    <w:p>
      <w:pPr>
        <w:spacing w:line="360" w:lineRule="auto"/>
        <w:ind w:left="576"/>
        <w:jc w:val="both"/>
      </w:pPr>
      <w:r>
        <w:rPr>
          <w:rFonts w:ascii="Times New Roman" w:hAnsi="Times New Roman"/>
          <w:b w:val="0"/>
          <w:i/>
        </w:rPr>
        <w:t>Any manufacturer has to commit money to raw materials long before it knows what demand will be. Commit too much and the capital is dead. Commit too little and you miss the window entirely. LogicSynapse is an AI agent that makes that commitment decision, shows its reasoning step by step, and waits for a human to approve before any money moves. We validate it on textbook printing, where the deadline is a school term and getting it wrong costs a publisher the whole cohort.</w:t>
      </w:r>
    </w:p>
    <w:p>
      <w:pPr>
        <w:pStyle w:val="Heading2"/>
      </w:pPr>
      <w:r>
        <w:rPr>
          <w:rFonts w:ascii="Times New Roman" w:hAnsi="Times New Roman"/>
        </w:rPr>
        <w:t>6. Add a section: "Why this is not an inventory management system"</w:t>
      </w:r>
    </w:p>
    <w:p>
      <w:pPr>
        <w:spacing w:line="360" w:lineRule="auto"/>
        <w:jc w:val="both"/>
      </w:pPr>
      <w:r>
        <w:rPr>
          <w:rFonts w:ascii="Times New Roman" w:hAnsi="Times New Roman"/>
          <w:b w:val="0"/>
        </w:rPr>
        <w:t>Pre-empting the objection is stronger than hoping it is not raised. Include this table in the concept paper and on a presentation slide.</w:t>
      </w:r>
    </w:p>
    <w:p>
      <w:pPr>
        <w:spacing w:after="40"/>
        <w:jc w:val="left"/>
      </w:pPr>
      <w:r>
        <w:rPr>
          <w:rFonts w:ascii="Times New Roman" w:hAnsi="Times New Roman"/>
          <w:b/>
          <w:sz w:val="22"/>
        </w:rPr>
        <w:t xml:space="preserve">Table 2: </w:t>
      </w:r>
      <w:r>
        <w:rPr>
          <w:rFonts w:ascii="Times New Roman" w:hAnsi="Times New Roman"/>
          <w:sz w:val="22"/>
        </w:rPr>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after="40"/>
            </w:pPr>
            <w:r>
              <w:rPr>
                <w:rFonts w:ascii="Times New Roman" w:hAnsi="Times New Roman"/>
                <w:b/>
                <w:sz w:val="20"/>
              </w:rPr>
            </w:r>
            <w:r>
              <w:rPr>
                <w:rFonts w:ascii="Times New Roman" w:hAnsi="Times New Roman"/>
                <w:b/>
                <w:sz w:val="20"/>
              </w:rPr>
              <w:t>Inventory management system</w:t>
            </w:r>
          </w:p>
        </w:tc>
        <w:tc>
          <w:tcPr>
            <w:tcW w:type="dxa" w:w="4680"/>
          </w:tcPr>
          <w:p>
            <w:pPr>
              <w:spacing w:line="240" w:lineRule="auto" w:after="40"/>
            </w:pPr>
            <w:r>
              <w:rPr>
                <w:rFonts w:ascii="Times New Roman" w:hAnsi="Times New Roman"/>
                <w:b/>
                <w:sz w:val="20"/>
              </w:rPr>
            </w:r>
            <w:r>
              <w:rPr>
                <w:rFonts w:ascii="Times New Roman" w:hAnsi="Times New Roman"/>
                <w:b/>
                <w:sz w:val="20"/>
              </w:rPr>
              <w:t>LogicSynapse AI</w:t>
            </w:r>
          </w:p>
        </w:tc>
      </w:tr>
      <w:tr>
        <w:tc>
          <w:tcPr>
            <w:tcW w:type="dxa" w:w="4680"/>
          </w:tcPr>
          <w:p>
            <w:pPr>
              <w:spacing w:line="240" w:lineRule="auto" w:after="40"/>
            </w:pPr>
            <w:r>
              <w:rPr>
                <w:rFonts w:ascii="Times New Roman" w:hAnsi="Times New Roman"/>
                <w:b w:val="0"/>
                <w:sz w:val="20"/>
              </w:rPr>
            </w:r>
            <w:r>
              <w:rPr>
                <w:rFonts w:ascii="Times New Roman" w:hAnsi="Times New Roman"/>
                <w:b w:val="0"/>
                <w:sz w:val="20"/>
              </w:rPr>
              <w:t>Records what is currently held</w:t>
            </w:r>
          </w:p>
        </w:tc>
        <w:tc>
          <w:tcPr>
            <w:tcW w:type="dxa" w:w="4680"/>
          </w:tcPr>
          <w:p>
            <w:pPr>
              <w:spacing w:line="240" w:lineRule="auto" w:after="40"/>
            </w:pPr>
            <w:r>
              <w:rPr>
                <w:rFonts w:ascii="Times New Roman" w:hAnsi="Times New Roman"/>
                <w:b w:val="0"/>
                <w:sz w:val="20"/>
              </w:rPr>
            </w:r>
            <w:r>
              <w:rPr>
                <w:rFonts w:ascii="Times New Roman" w:hAnsi="Times New Roman"/>
                <w:b w:val="0"/>
                <w:sz w:val="20"/>
              </w:rPr>
              <w:t>Decides what to commit to in future</w:t>
            </w:r>
          </w:p>
        </w:tc>
      </w:tr>
      <w:tr>
        <w:tc>
          <w:tcPr>
            <w:tcW w:type="dxa" w:w="4680"/>
          </w:tcPr>
          <w:p>
            <w:pPr>
              <w:spacing w:line="240" w:lineRule="auto" w:after="40"/>
            </w:pPr>
            <w:r>
              <w:rPr>
                <w:rFonts w:ascii="Times New Roman" w:hAnsi="Times New Roman"/>
                <w:b w:val="0"/>
                <w:sz w:val="20"/>
              </w:rPr>
            </w:r>
            <w:r>
              <w:rPr>
                <w:rFonts w:ascii="Times New Roman" w:hAnsi="Times New Roman"/>
                <w:b w:val="0"/>
                <w:sz w:val="20"/>
              </w:rPr>
              <w:t>Human reads a dashboard and decides</w:t>
            </w:r>
          </w:p>
        </w:tc>
        <w:tc>
          <w:tcPr>
            <w:tcW w:type="dxa" w:w="4680"/>
          </w:tcPr>
          <w:p>
            <w:pPr>
              <w:spacing w:line="240" w:lineRule="auto" w:after="40"/>
            </w:pPr>
            <w:r>
              <w:rPr>
                <w:rFonts w:ascii="Times New Roman" w:hAnsi="Times New Roman"/>
                <w:b w:val="0"/>
                <w:sz w:val="20"/>
              </w:rPr>
            </w:r>
            <w:r>
              <w:rPr>
                <w:rFonts w:ascii="Times New Roman" w:hAnsi="Times New Roman"/>
                <w:b w:val="0"/>
                <w:sz w:val="20"/>
              </w:rPr>
              <w:t>Agent decides and reasons, human authorises</w:t>
            </w:r>
          </w:p>
        </w:tc>
      </w:tr>
      <w:tr>
        <w:tc>
          <w:tcPr>
            <w:tcW w:type="dxa" w:w="4680"/>
          </w:tcPr>
          <w:p>
            <w:pPr>
              <w:spacing w:line="240" w:lineRule="auto" w:after="40"/>
            </w:pPr>
            <w:r>
              <w:rPr>
                <w:rFonts w:ascii="Times New Roman" w:hAnsi="Times New Roman"/>
                <w:b w:val="0"/>
                <w:sz w:val="20"/>
              </w:rPr>
            </w:r>
            <w:r>
              <w:rPr>
                <w:rFonts w:ascii="Times New Roman" w:hAnsi="Times New Roman"/>
                <w:b w:val="0"/>
                <w:sz w:val="20"/>
              </w:rPr>
              <w:t>Reactive alert at a fixed threshold</w:t>
            </w:r>
          </w:p>
        </w:tc>
        <w:tc>
          <w:tcPr>
            <w:tcW w:type="dxa" w:w="4680"/>
          </w:tcPr>
          <w:p>
            <w:pPr>
              <w:spacing w:line="240" w:lineRule="auto" w:after="40"/>
            </w:pPr>
            <w:r>
              <w:rPr>
                <w:rFonts w:ascii="Times New Roman" w:hAnsi="Times New Roman"/>
                <w:b w:val="0"/>
                <w:sz w:val="20"/>
              </w:rPr>
            </w:r>
            <w:r>
              <w:rPr>
                <w:rFonts w:ascii="Times New Roman" w:hAnsi="Times New Roman"/>
                <w:b w:val="0"/>
                <w:sz w:val="20"/>
              </w:rPr>
              <w:t>Forecast-driven, lead-time aware, seasonally adjusted</w:t>
            </w:r>
          </w:p>
        </w:tc>
      </w:tr>
      <w:tr>
        <w:tc>
          <w:tcPr>
            <w:tcW w:type="dxa" w:w="4680"/>
          </w:tcPr>
          <w:p>
            <w:pPr>
              <w:spacing w:line="240" w:lineRule="auto" w:after="40"/>
            </w:pPr>
            <w:r>
              <w:rPr>
                <w:rFonts w:ascii="Times New Roman" w:hAnsi="Times New Roman"/>
                <w:b w:val="0"/>
                <w:sz w:val="20"/>
              </w:rPr>
            </w:r>
            <w:r>
              <w:rPr>
                <w:rFonts w:ascii="Times New Roman" w:hAnsi="Times New Roman"/>
                <w:b w:val="0"/>
                <w:sz w:val="20"/>
              </w:rPr>
              <w:t>Output is a report</w:t>
            </w:r>
          </w:p>
        </w:tc>
        <w:tc>
          <w:tcPr>
            <w:tcW w:type="dxa" w:w="4680"/>
          </w:tcPr>
          <w:p>
            <w:pPr>
              <w:spacing w:line="240" w:lineRule="auto" w:after="40"/>
            </w:pPr>
            <w:r>
              <w:rPr>
                <w:rFonts w:ascii="Times New Roman" w:hAnsi="Times New Roman"/>
                <w:b w:val="0"/>
                <w:sz w:val="20"/>
              </w:rPr>
            </w:r>
            <w:r>
              <w:rPr>
                <w:rFonts w:ascii="Times New Roman" w:hAnsi="Times New Roman"/>
                <w:b w:val="0"/>
                <w:sz w:val="20"/>
              </w:rPr>
              <w:t>Output is a purchase order, a supplier email, and a full reasoning trace</w:t>
            </w:r>
          </w:p>
        </w:tc>
      </w:tr>
      <w:tr>
        <w:tc>
          <w:tcPr>
            <w:tcW w:type="dxa" w:w="4680"/>
          </w:tcPr>
          <w:p>
            <w:pPr>
              <w:spacing w:line="240" w:lineRule="auto" w:after="40"/>
            </w:pPr>
            <w:r>
              <w:rPr>
                <w:rFonts w:ascii="Times New Roman" w:hAnsi="Times New Roman"/>
                <w:b w:val="0"/>
                <w:sz w:val="20"/>
              </w:rPr>
            </w:r>
            <w:r>
              <w:rPr>
                <w:rFonts w:ascii="Times New Roman" w:hAnsi="Times New Roman"/>
                <w:b w:val="0"/>
                <w:sz w:val="20"/>
              </w:rPr>
              <w:t>Satisfies no analytics requirement</w:t>
            </w:r>
          </w:p>
        </w:tc>
        <w:tc>
          <w:tcPr>
            <w:tcW w:type="dxa" w:w="4680"/>
          </w:tcPr>
          <w:p>
            <w:pPr>
              <w:spacing w:line="240" w:lineRule="auto" w:after="40"/>
            </w:pPr>
            <w:r>
              <w:rPr>
                <w:rFonts w:ascii="Times New Roman" w:hAnsi="Times New Roman"/>
                <w:b w:val="0"/>
                <w:sz w:val="20"/>
              </w:rPr>
            </w:r>
            <w:r>
              <w:rPr>
                <w:rFonts w:ascii="Times New Roman" w:hAnsi="Times New Roman"/>
                <w:b w:val="0"/>
                <w:sz w:val="20"/>
              </w:rPr>
              <w:t>Descriptive, diagnostic, predictive and prescriptive analytics (see section 7b)</w:t>
            </w:r>
          </w:p>
        </w:tc>
      </w:tr>
      <w:tr>
        <w:tc>
          <w:tcPr>
            <w:tcW w:type="dxa" w:w="4680"/>
          </w:tcPr>
          <w:p>
            <w:pPr>
              <w:spacing w:line="240" w:lineRule="auto" w:after="40"/>
            </w:pPr>
            <w:r>
              <w:rPr>
                <w:rFonts w:ascii="Times New Roman" w:hAnsi="Times New Roman"/>
                <w:b w:val="0"/>
                <w:sz w:val="20"/>
              </w:rPr>
            </w:r>
            <w:r>
              <w:rPr>
                <w:rFonts w:ascii="Times New Roman" w:hAnsi="Times New Roman"/>
                <w:b w:val="0"/>
                <w:sz w:val="20"/>
              </w:rPr>
              <w:t>Data entry and retrieval</w:t>
            </w:r>
          </w:p>
        </w:tc>
        <w:tc>
          <w:tcPr>
            <w:tcW w:type="dxa" w:w="4680"/>
          </w:tcPr>
          <w:p>
            <w:pPr>
              <w:spacing w:line="240" w:lineRule="auto" w:after="40"/>
            </w:pPr>
            <w:r>
              <w:rPr>
                <w:rFonts w:ascii="Times New Roman" w:hAnsi="Times New Roman"/>
                <w:b w:val="0"/>
                <w:sz w:val="20"/>
              </w:rPr>
            </w:r>
            <w:r>
              <w:rPr>
                <w:rFonts w:ascii="Times New Roman" w:hAnsi="Times New Roman"/>
                <w:b w:val="0"/>
                <w:sz w:val="20"/>
              </w:rPr>
              <w:t>Autonomous action under human authority</w:t>
            </w:r>
          </w:p>
        </w:tc>
      </w:tr>
    </w:tbl>
    <w:p/>
    <w:p>
      <w:pPr>
        <w:pStyle w:val="Heading2"/>
      </w:pPr>
      <w:r>
        <w:rPr>
          <w:rFonts w:ascii="Times New Roman" w:hAnsi="Times New Roman"/>
        </w:rPr>
        <w:t>7. Draw the algorithmic line clearly</w:t>
      </w:r>
    </w:p>
    <w:p>
      <w:pPr>
        <w:spacing w:line="360" w:lineRule="auto"/>
        <w:jc w:val="both"/>
      </w:pPr>
      <w:r>
        <w:rPr>
          <w:rFonts w:ascii="Times New Roman" w:hAnsi="Times New Roman"/>
          <w:b w:val="0"/>
        </w:rPr>
        <w:t>Slide 9 requires that a project "tests acquired knowledge such as algorithms." A supervisor will reasonably ask what the team engineered versus what the language model provided. Answer it before it is asked.</w:t>
      </w:r>
    </w:p>
    <w:p>
      <w:pPr>
        <w:spacing w:line="360" w:lineRule="auto"/>
        <w:jc w:val="both"/>
      </w:pPr>
      <w:r>
        <w:rPr>
          <w:rFonts w:ascii="Times New Roman" w:hAnsi="Times New Roman"/>
          <w:b/>
        </w:rPr>
        <w:t>The team's engineering work:</w:t>
      </w:r>
    </w:p>
    <w:p>
      <w:pPr>
        <w:pStyle w:val="ListBullet"/>
        <w:spacing w:line="360" w:lineRule="auto"/>
      </w:pPr>
      <w:r>
        <w:rPr>
          <w:rFonts w:ascii="Times New Roman" w:hAnsi="Times New Roman"/>
          <w:b w:val="0"/>
        </w:rPr>
        <w:t>Newsvendor optimal order quantity for the single-period print run commitment</w:t>
      </w:r>
    </w:p>
    <w:p>
      <w:pPr>
        <w:pStyle w:val="ListBullet"/>
        <w:spacing w:line="360" w:lineRule="auto"/>
      </w:pPr>
      <w:r>
        <w:rPr>
          <w:rFonts w:ascii="Times New Roman" w:hAnsi="Times New Roman"/>
          <w:b w:val="0"/>
        </w:rPr>
        <w:t>Demand forecasting by Holt-Winters triple exponential smoothing over the term cycle</w:t>
      </w:r>
    </w:p>
    <w:p>
      <w:pPr>
        <w:pStyle w:val="ListBullet"/>
        <w:spacing w:line="360" w:lineRule="auto"/>
      </w:pPr>
      <w:r>
        <w:rPr>
          <w:rFonts w:ascii="Times New Roman" w:hAnsi="Times New Roman"/>
          <w:b w:val="0"/>
        </w:rPr>
        <w:t>Dynamic reorder point incorporating lead time variance</w:t>
      </w:r>
    </w:p>
    <w:p>
      <w:pPr>
        <w:pStyle w:val="ListBullet"/>
        <w:spacing w:line="360" w:lineRule="auto"/>
      </w:pPr>
      <w:r>
        <w:rPr>
          <w:rFonts w:ascii="Times New Roman" w:hAnsi="Times New Roman"/>
          <w:b w:val="0"/>
        </w:rPr>
        <w:t>Safety stock computation under joint demand and lead time variability</w:t>
      </w:r>
    </w:p>
    <w:p>
      <w:pPr>
        <w:pStyle w:val="ListBullet"/>
        <w:spacing w:line="360" w:lineRule="auto"/>
      </w:pPr>
      <w:r>
        <w:rPr>
          <w:rFonts w:ascii="Times New Roman" w:hAnsi="Times New Roman"/>
          <w:b w:val="0"/>
        </w:rPr>
        <w:t>Economic order quantity adapted to discrete, indivisible print runs</w:t>
      </w:r>
    </w:p>
    <w:p>
      <w:pPr>
        <w:pStyle w:val="ListBullet"/>
        <w:spacing w:line="360" w:lineRule="auto"/>
      </w:pPr>
      <w:r>
        <w:rPr>
          <w:rFonts w:ascii="Times New Roman" w:hAnsi="Times New Roman"/>
          <w:b w:val="0"/>
        </w:rPr>
        <w:t>Curriculum-change risk as an explicit input to the decision</w:t>
      </w:r>
    </w:p>
    <w:p>
      <w:pPr>
        <w:pStyle w:val="ListBullet"/>
        <w:spacing w:line="360" w:lineRule="auto"/>
      </w:pPr>
      <w:r>
        <w:rPr>
          <w:rFonts w:ascii="Times New Roman" w:hAnsi="Times New Roman"/>
          <w:b w:val="0"/>
        </w:rPr>
        <w:t>Forecast validation by walk-forward backtesting against a naive seasonal baseline</w:t>
      </w:r>
    </w:p>
    <w:p>
      <w:pPr>
        <w:spacing w:line="360" w:lineRule="auto"/>
        <w:jc w:val="both"/>
      </w:pPr>
      <w:r>
        <w:rPr>
          <w:rFonts w:ascii="Times New Roman" w:hAnsi="Times New Roman"/>
          <w:b w:val="0"/>
        </w:rPr>
        <w:t>Section 7b sets out these analytics in full, with formulas and a worked example.</w:t>
      </w:r>
    </w:p>
    <w:p>
      <w:pPr>
        <w:spacing w:line="360" w:lineRule="auto"/>
        <w:jc w:val="both"/>
      </w:pPr>
      <w:r>
        <w:rPr>
          <w:rFonts w:ascii="Times New Roman" w:hAnsi="Times New Roman"/>
          <w:b/>
        </w:rPr>
        <w:t>The language model's role:</w:t>
      </w:r>
    </w:p>
    <w:p>
      <w:pPr>
        <w:pStyle w:val="ListBullet"/>
        <w:spacing w:line="360" w:lineRule="auto"/>
      </w:pPr>
      <w:r>
        <w:rPr>
          <w:rFonts w:ascii="Times New Roman" w:hAnsi="Times New Roman"/>
          <w:b w:val="0"/>
        </w:rPr>
        <w:t>Orchestrating multi-step tool calls</w:t>
      </w:r>
    </w:p>
    <w:p>
      <w:pPr>
        <w:pStyle w:val="ListBullet"/>
        <w:spacing w:line="360" w:lineRule="auto"/>
      </w:pPr>
      <w:r>
        <w:rPr>
          <w:rFonts w:ascii="Times New Roman" w:hAnsi="Times New Roman"/>
          <w:b w:val="0"/>
        </w:rPr>
        <w:t>Selecting among suppliers given the computed constraints</w:t>
      </w:r>
    </w:p>
    <w:p>
      <w:pPr>
        <w:pStyle w:val="ListBullet"/>
        <w:spacing w:line="360" w:lineRule="auto"/>
      </w:pPr>
      <w:r>
        <w:rPr>
          <w:rFonts w:ascii="Times New Roman" w:hAnsi="Times New Roman"/>
          <w:b w:val="0"/>
        </w:rPr>
        <w:t>Drafting the natural-language purchase order and supplier email</w:t>
      </w:r>
    </w:p>
    <w:p>
      <w:pPr>
        <w:spacing w:line="360" w:lineRule="auto"/>
        <w:jc w:val="both"/>
      </w:pPr>
      <w:r>
        <w:rPr>
          <w:rFonts w:ascii="Times New Roman" w:hAnsi="Times New Roman"/>
          <w:b w:val="0"/>
        </w:rPr>
        <w:t>The decision mathematics is classical, implementable, and examinable. The language model wraps it. Stating this division explicitly converts a perceived weakness into a demonstrated strength.</w:t>
      </w:r>
    </w:p>
    <w:p>
      <w:pPr>
        <w:pStyle w:val="Heading2"/>
      </w:pPr>
      <w:r>
        <w:rPr>
          <w:rFonts w:ascii="Times New Roman" w:hAnsi="Times New Roman"/>
        </w:rPr>
        <w:t>7b. The analytics layer, and how slide 11 is satisfied</w:t>
      </w:r>
    </w:p>
    <w:p>
      <w:pPr>
        <w:spacing w:line="360" w:lineRule="auto"/>
        <w:jc w:val="both"/>
      </w:pPr>
      <w:r>
        <w:rPr>
          <w:rFonts w:ascii="Times New Roman" w:hAnsi="Times New Roman"/>
          <w:b w:val="0"/>
        </w:rPr>
        <w:t>Slide 11 states: "DON'T DO A PROJECT with Only Basic data entry and retrieval (Information Systems MUST Show Data analytics)."</w:t>
      </w:r>
    </w:p>
    <w:p>
      <w:pPr>
        <w:spacing w:line="360" w:lineRule="auto"/>
        <w:jc w:val="both"/>
      </w:pPr>
      <w:r>
        <w:rPr>
          <w:rFonts w:ascii="Times New Roman" w:hAnsi="Times New Roman"/>
          <w:b w:val="0"/>
        </w:rPr>
        <w:t>This section exists so that the analytics can be pointed at directly rather than asserted. The analytics run in four tiers.</w:t>
      </w:r>
    </w:p>
    <w:p>
      <w:pPr>
        <w:spacing w:after="40"/>
        <w:jc w:val="left"/>
      </w:pPr>
      <w:r>
        <w:rPr>
          <w:rFonts w:ascii="Times New Roman" w:hAnsi="Times New Roman"/>
          <w:b/>
          <w:sz w:val="22"/>
        </w:rPr>
        <w:t xml:space="preserve">Table 3: </w:t>
      </w:r>
      <w:r>
        <w:rPr>
          <w:rFonts w:ascii="Times New Roman" w:hAnsi="Times New Roman"/>
          <w:sz w:val="22"/>
        </w:rPr>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after="40"/>
            </w:pPr>
            <w:r>
              <w:rPr>
                <w:rFonts w:ascii="Times New Roman" w:hAnsi="Times New Roman"/>
                <w:b/>
                <w:sz w:val="20"/>
              </w:rPr>
            </w:r>
            <w:r>
              <w:rPr>
                <w:rFonts w:ascii="Times New Roman" w:hAnsi="Times New Roman"/>
                <w:b/>
                <w:sz w:val="20"/>
              </w:rPr>
              <w:t>Tier</w:t>
            </w:r>
          </w:p>
        </w:tc>
        <w:tc>
          <w:tcPr>
            <w:tcW w:type="dxa" w:w="3120"/>
          </w:tcPr>
          <w:p>
            <w:pPr>
              <w:spacing w:line="240" w:lineRule="auto" w:after="40"/>
            </w:pPr>
            <w:r>
              <w:rPr>
                <w:rFonts w:ascii="Times New Roman" w:hAnsi="Times New Roman"/>
                <w:b/>
                <w:sz w:val="20"/>
              </w:rPr>
            </w:r>
            <w:r>
              <w:rPr>
                <w:rFonts w:ascii="Times New Roman" w:hAnsi="Times New Roman"/>
                <w:b/>
                <w:sz w:val="20"/>
              </w:rPr>
              <w:t>Question answered</w:t>
            </w:r>
          </w:p>
        </w:tc>
        <w:tc>
          <w:tcPr>
            <w:tcW w:type="dxa" w:w="3120"/>
          </w:tcPr>
          <w:p>
            <w:pPr>
              <w:spacing w:line="240" w:lineRule="auto" w:after="40"/>
            </w:pPr>
            <w:r>
              <w:rPr>
                <w:rFonts w:ascii="Times New Roman" w:hAnsi="Times New Roman"/>
                <w:b/>
                <w:sz w:val="20"/>
              </w:rPr>
            </w:r>
            <w:r>
              <w:rPr>
                <w:rFonts w:ascii="Times New Roman" w:hAnsi="Times New Roman"/>
                <w:b/>
                <w:sz w:val="20"/>
              </w:rPr>
              <w:t>What is computed</w:t>
            </w:r>
          </w:p>
        </w:tc>
      </w:tr>
      <w:tr>
        <w:tc>
          <w:tcPr>
            <w:tcW w:type="dxa" w:w="3120"/>
          </w:tcPr>
          <w:p>
            <w:pPr>
              <w:spacing w:line="240" w:lineRule="auto" w:after="40"/>
            </w:pPr>
            <w:r>
              <w:rPr>
                <w:rFonts w:ascii="Times New Roman" w:hAnsi="Times New Roman"/>
                <w:b w:val="0"/>
                <w:sz w:val="20"/>
              </w:rPr>
            </w:r>
            <w:r>
              <w:rPr>
                <w:rFonts w:ascii="Times New Roman" w:hAnsi="Times New Roman"/>
                <w:b w:val="0"/>
                <w:sz w:val="20"/>
              </w:rPr>
              <w:t>Descriptive</w:t>
            </w:r>
          </w:p>
        </w:tc>
        <w:tc>
          <w:tcPr>
            <w:tcW w:type="dxa" w:w="3120"/>
          </w:tcPr>
          <w:p>
            <w:pPr>
              <w:spacing w:line="240" w:lineRule="auto" w:after="40"/>
            </w:pPr>
            <w:r>
              <w:rPr>
                <w:rFonts w:ascii="Times New Roman" w:hAnsi="Times New Roman"/>
                <w:b w:val="0"/>
                <w:sz w:val="20"/>
              </w:rPr>
            </w:r>
            <w:r>
              <w:rPr>
                <w:rFonts w:ascii="Times New Roman" w:hAnsi="Times New Roman"/>
                <w:b w:val="0"/>
                <w:sz w:val="20"/>
              </w:rPr>
              <w:t>What happened?</w:t>
            </w:r>
          </w:p>
        </w:tc>
        <w:tc>
          <w:tcPr>
            <w:tcW w:type="dxa" w:w="3120"/>
          </w:tcPr>
          <w:p>
            <w:pPr>
              <w:spacing w:line="240" w:lineRule="auto" w:after="40"/>
            </w:pPr>
            <w:r>
              <w:rPr>
                <w:rFonts w:ascii="Times New Roman" w:hAnsi="Times New Roman"/>
                <w:b w:val="0"/>
                <w:sz w:val="20"/>
              </w:rPr>
            </w:r>
            <w:r>
              <w:rPr>
                <w:rFonts w:ascii="Times New Roman" w:hAnsi="Times New Roman"/>
                <w:b w:val="0"/>
                <w:sz w:val="20"/>
              </w:rPr>
              <w:t>Sales velocity per title, term-cycle seasonal index, supplier lead time variance, stock ageing, ABC classification by revenue contribution, working capital tied per title</w:t>
            </w:r>
          </w:p>
        </w:tc>
      </w:tr>
      <w:tr>
        <w:tc>
          <w:tcPr>
            <w:tcW w:type="dxa" w:w="3120"/>
          </w:tcPr>
          <w:p>
            <w:pPr>
              <w:spacing w:line="240" w:lineRule="auto" w:after="40"/>
            </w:pPr>
            <w:r>
              <w:rPr>
                <w:rFonts w:ascii="Times New Roman" w:hAnsi="Times New Roman"/>
                <w:b w:val="0"/>
                <w:sz w:val="20"/>
              </w:rPr>
            </w:r>
            <w:r>
              <w:rPr>
                <w:rFonts w:ascii="Times New Roman" w:hAnsi="Times New Roman"/>
                <w:b w:val="0"/>
                <w:sz w:val="20"/>
              </w:rPr>
              <w:t>Diagnostic</w:t>
            </w:r>
          </w:p>
        </w:tc>
        <w:tc>
          <w:tcPr>
            <w:tcW w:type="dxa" w:w="3120"/>
          </w:tcPr>
          <w:p>
            <w:pPr>
              <w:spacing w:line="240" w:lineRule="auto" w:after="40"/>
            </w:pPr>
            <w:r>
              <w:rPr>
                <w:rFonts w:ascii="Times New Roman" w:hAnsi="Times New Roman"/>
                <w:b w:val="0"/>
                <w:sz w:val="20"/>
              </w:rPr>
            </w:r>
            <w:r>
              <w:rPr>
                <w:rFonts w:ascii="Times New Roman" w:hAnsi="Times New Roman"/>
                <w:b w:val="0"/>
                <w:sz w:val="20"/>
              </w:rPr>
              <w:t>Why did it happen?</w:t>
            </w:r>
          </w:p>
        </w:tc>
        <w:tc>
          <w:tcPr>
            <w:tcW w:type="dxa" w:w="3120"/>
          </w:tcPr>
          <w:p>
            <w:pPr>
              <w:spacing w:line="240" w:lineRule="auto" w:after="40"/>
            </w:pPr>
            <w:r>
              <w:rPr>
                <w:rFonts w:ascii="Times New Roman" w:hAnsi="Times New Roman"/>
                <w:b w:val="0"/>
                <w:sz w:val="20"/>
              </w:rPr>
            </w:r>
            <w:r>
              <w:rPr>
                <w:rFonts w:ascii="Times New Roman" w:hAnsi="Times New Roman"/>
                <w:b w:val="0"/>
                <w:sz w:val="20"/>
              </w:rPr>
              <w:t>Forecast error decomposed into trend, seasonal and residual components; stockout attribution to forecast error, lead time slip or under-commitment; supplier reliability attribution</w:t>
            </w:r>
          </w:p>
        </w:tc>
      </w:tr>
      <w:tr>
        <w:tc>
          <w:tcPr>
            <w:tcW w:type="dxa" w:w="3120"/>
          </w:tcPr>
          <w:p>
            <w:pPr>
              <w:spacing w:line="240" w:lineRule="auto" w:after="40"/>
            </w:pPr>
            <w:r>
              <w:rPr>
                <w:rFonts w:ascii="Times New Roman" w:hAnsi="Times New Roman"/>
                <w:b w:val="0"/>
                <w:sz w:val="20"/>
              </w:rPr>
            </w:r>
            <w:r>
              <w:rPr>
                <w:rFonts w:ascii="Times New Roman" w:hAnsi="Times New Roman"/>
                <w:b w:val="0"/>
                <w:sz w:val="20"/>
              </w:rPr>
              <w:t>Predictive</w:t>
            </w:r>
          </w:p>
        </w:tc>
        <w:tc>
          <w:tcPr>
            <w:tcW w:type="dxa" w:w="3120"/>
          </w:tcPr>
          <w:p>
            <w:pPr>
              <w:spacing w:line="240" w:lineRule="auto" w:after="40"/>
            </w:pPr>
            <w:r>
              <w:rPr>
                <w:rFonts w:ascii="Times New Roman" w:hAnsi="Times New Roman"/>
                <w:b w:val="0"/>
                <w:sz w:val="20"/>
              </w:rPr>
            </w:r>
            <w:r>
              <w:rPr>
                <w:rFonts w:ascii="Times New Roman" w:hAnsi="Times New Roman"/>
                <w:b w:val="0"/>
                <w:sz w:val="20"/>
              </w:rPr>
              <w:t>What will happen?</w:t>
            </w:r>
          </w:p>
        </w:tc>
        <w:tc>
          <w:tcPr>
            <w:tcW w:type="dxa" w:w="3120"/>
          </w:tcPr>
          <w:p>
            <w:pPr>
              <w:spacing w:line="240" w:lineRule="auto" w:after="40"/>
            </w:pPr>
            <w:r>
              <w:rPr>
                <w:rFonts w:ascii="Times New Roman" w:hAnsi="Times New Roman"/>
                <w:b w:val="0"/>
                <w:sz w:val="20"/>
              </w:rPr>
            </w:r>
            <w:r>
              <w:rPr>
                <w:rFonts w:ascii="Times New Roman" w:hAnsi="Times New Roman"/>
                <w:b w:val="0"/>
                <w:sz w:val="20"/>
              </w:rPr>
              <w:t>Demand forecasting by Holt-Winters triple exponential smoothing across the term cycle; depletion date projection; lead time modelled as a distribution rather than a point estimate; probability of stockout within the lead time window</w:t>
            </w:r>
          </w:p>
        </w:tc>
      </w:tr>
      <w:tr>
        <w:tc>
          <w:tcPr>
            <w:tcW w:type="dxa" w:w="3120"/>
          </w:tcPr>
          <w:p>
            <w:pPr>
              <w:spacing w:line="240" w:lineRule="auto" w:after="40"/>
            </w:pPr>
            <w:r>
              <w:rPr>
                <w:rFonts w:ascii="Times New Roman" w:hAnsi="Times New Roman"/>
                <w:b w:val="0"/>
                <w:sz w:val="20"/>
              </w:rPr>
            </w:r>
            <w:r>
              <w:rPr>
                <w:rFonts w:ascii="Times New Roman" w:hAnsi="Times New Roman"/>
                <w:b w:val="0"/>
                <w:sz w:val="20"/>
              </w:rPr>
              <w:t>Prescriptive</w:t>
            </w:r>
          </w:p>
        </w:tc>
        <w:tc>
          <w:tcPr>
            <w:tcW w:type="dxa" w:w="3120"/>
          </w:tcPr>
          <w:p>
            <w:pPr>
              <w:spacing w:line="240" w:lineRule="auto" w:after="40"/>
            </w:pPr>
            <w:r>
              <w:rPr>
                <w:rFonts w:ascii="Times New Roman" w:hAnsi="Times New Roman"/>
                <w:b w:val="0"/>
                <w:sz w:val="20"/>
              </w:rPr>
            </w:r>
            <w:r>
              <w:rPr>
                <w:rFonts w:ascii="Times New Roman" w:hAnsi="Times New Roman"/>
                <w:b w:val="0"/>
                <w:sz w:val="20"/>
              </w:rPr>
              <w:t>What should be done?</w:t>
            </w:r>
          </w:p>
        </w:tc>
        <w:tc>
          <w:tcPr>
            <w:tcW w:type="dxa" w:w="3120"/>
          </w:tcPr>
          <w:p>
            <w:pPr>
              <w:spacing w:line="240" w:lineRule="auto" w:after="40"/>
            </w:pPr>
            <w:r>
              <w:rPr>
                <w:rFonts w:ascii="Times New Roman" w:hAnsi="Times New Roman"/>
                <w:b w:val="0"/>
                <w:sz w:val="20"/>
              </w:rPr>
            </w:r>
            <w:r>
              <w:rPr>
                <w:rFonts w:ascii="Times New Roman" w:hAnsi="Times New Roman"/>
                <w:b w:val="0"/>
                <w:sz w:val="20"/>
              </w:rPr>
              <w:t>Newsvendor optimal order quantity, dynamic reorder point, safety stock under joint demand and lead time variance, order quantity adjusted for press setup cost and volume price breaks, multi-criteria supplier selection</w:t>
            </w:r>
          </w:p>
        </w:tc>
      </w:tr>
    </w:tbl>
    <w:p/>
    <w:p>
      <w:pPr>
        <w:pStyle w:val="Heading3"/>
      </w:pPr>
      <w:r>
        <w:rPr>
          <w:rFonts w:ascii="Times New Roman" w:hAnsi="Times New Roman"/>
        </w:rPr>
        <w:t>The core model: a print run is a newsvendor problem</w:t>
      </w:r>
    </w:p>
    <w:p>
      <w:pPr>
        <w:spacing w:line="360" w:lineRule="auto"/>
        <w:jc w:val="both"/>
      </w:pPr>
      <w:r>
        <w:rPr>
          <w:rFonts w:ascii="Times New Roman" w:hAnsi="Times New Roman"/>
          <w:b w:val="0"/>
        </w:rPr>
        <w:t>A print run is a single-period commitment made before demand is known, with no opportunity to reorder inside the selling window, and with asymmetric costs on either side of the error. This is exactly the problem class the newsvendor model addresses, a classical result in operations research attributed to Arrow, Harris and Marschak.</w:t>
      </w:r>
    </w:p>
    <w:p>
      <w:pPr>
        <w:spacing w:line="360" w:lineRule="auto"/>
        <w:jc w:val="both"/>
      </w:pPr>
      <w:r>
        <w:rPr>
          <w:rFonts w:ascii="Times New Roman" w:hAnsi="Times New Roman"/>
          <w:b/>
        </w:rPr>
        <w:t>Critical ratio</w:t>
      </w:r>
      <w:r>
        <w:rPr>
          <w:rFonts w:ascii="Times New Roman" w:hAnsi="Times New Roman"/>
          <w:b w:val="0"/>
        </w:rPr>
        <w:t xml:space="preserve"> = Cu / (Cu + Co)</w:t>
      </w:r>
    </w:p>
    <w:p>
      <w:pPr>
        <w:spacing w:line="360" w:lineRule="auto"/>
        <w:jc w:val="both"/>
      </w:pPr>
      <w:r>
        <w:rPr>
          <w:rFonts w:ascii="Times New Roman" w:hAnsi="Times New Roman"/>
          <w:b/>
        </w:rPr>
        <w:t>Optimal quantity</w:t>
      </w:r>
      <w:r>
        <w:rPr>
          <w:rFonts w:ascii="Times New Roman" w:hAnsi="Times New Roman"/>
          <w:b w:val="0"/>
        </w:rPr>
        <w:t xml:space="preserve"> Q* = F inverse (critical ratio), where F is the cumulative distribution of forecast demand.</w:t>
      </w:r>
    </w:p>
    <w:p>
      <w:pPr>
        <w:spacing w:line="360" w:lineRule="auto"/>
        <w:jc w:val="both"/>
      </w:pPr>
      <w:r>
        <w:rPr>
          <w:rFonts w:ascii="Times New Roman" w:hAnsi="Times New Roman"/>
          <w:b w:val="0"/>
        </w:rPr>
        <w:t>Where Cu is the underage cost, being the margin lost on demand that could not be filled, and Co is the overage cost, being the capital sunk in units that are never sold.</w:t>
      </w:r>
    </w:p>
    <w:p>
      <w:pPr>
        <w:spacing w:line="360" w:lineRule="auto"/>
        <w:jc w:val="both"/>
      </w:pPr>
      <w:r>
        <w:rPr>
          <w:rFonts w:ascii="Times New Roman" w:hAnsi="Times New Roman"/>
          <w:b/>
        </w:rPr>
        <w:t>Worked example.</w:t>
      </w:r>
    </w:p>
    <w:p>
      <w:pPr>
        <w:spacing w:after="40"/>
        <w:jc w:val="left"/>
      </w:pPr>
      <w:r>
        <w:rPr>
          <w:rFonts w:ascii="Times New Roman" w:hAnsi="Times New Roman"/>
          <w:b/>
          <w:sz w:val="22"/>
        </w:rPr>
        <w:t xml:space="preserve">Table 4: </w:t>
      </w:r>
      <w:r>
        <w:rPr>
          <w:rFonts w:ascii="Times New Roman" w:hAnsi="Times New Roman"/>
          <w:sz w:val="22"/>
        </w:rPr>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after="40"/>
            </w:pPr>
            <w:r>
              <w:rPr>
                <w:rFonts w:ascii="Times New Roman" w:hAnsi="Times New Roman"/>
                <w:b/>
                <w:sz w:val="20"/>
              </w:rPr>
            </w:r>
            <w:r>
              <w:rPr>
                <w:rFonts w:ascii="Times New Roman" w:hAnsi="Times New Roman"/>
                <w:b/>
                <w:sz w:val="20"/>
              </w:rPr>
              <w:t>Input</w:t>
            </w:r>
          </w:p>
        </w:tc>
        <w:tc>
          <w:tcPr>
            <w:tcW w:type="dxa" w:w="4680"/>
          </w:tcPr>
          <w:p>
            <w:pPr>
              <w:spacing w:line="240" w:lineRule="auto" w:after="40"/>
            </w:pPr>
            <w:r>
              <w:rPr>
                <w:rFonts w:ascii="Times New Roman" w:hAnsi="Times New Roman"/>
                <w:b/>
                <w:sz w:val="20"/>
              </w:rPr>
            </w:r>
            <w:r>
              <w:rPr>
                <w:rFonts w:ascii="Times New Roman" w:hAnsi="Times New Roman"/>
                <w:b/>
                <w:sz w:val="20"/>
              </w:rPr>
              <w:t>Value</w:t>
            </w:r>
          </w:p>
        </w:tc>
      </w:tr>
      <w:tr>
        <w:tc>
          <w:tcPr>
            <w:tcW w:type="dxa" w:w="4680"/>
          </w:tcPr>
          <w:p>
            <w:pPr>
              <w:spacing w:line="240" w:lineRule="auto" w:after="40"/>
            </w:pPr>
            <w:r>
              <w:rPr>
                <w:rFonts w:ascii="Times New Roman" w:hAnsi="Times New Roman"/>
                <w:b w:val="0"/>
                <w:sz w:val="20"/>
              </w:rPr>
            </w:r>
            <w:r>
              <w:rPr>
                <w:rFonts w:ascii="Times New Roman" w:hAnsi="Times New Roman"/>
                <w:b w:val="0"/>
                <w:sz w:val="20"/>
              </w:rPr>
              <w:t>Print cost per copy</w:t>
            </w:r>
          </w:p>
        </w:tc>
        <w:tc>
          <w:tcPr>
            <w:tcW w:type="dxa" w:w="4680"/>
          </w:tcPr>
          <w:p>
            <w:pPr>
              <w:spacing w:line="240" w:lineRule="auto" w:after="40"/>
            </w:pPr>
            <w:r>
              <w:rPr>
                <w:rFonts w:ascii="Times New Roman" w:hAnsi="Times New Roman"/>
                <w:b w:val="0"/>
                <w:sz w:val="20"/>
              </w:rPr>
            </w:r>
            <w:r>
              <w:rPr>
                <w:rFonts w:ascii="Times New Roman" w:hAnsi="Times New Roman"/>
                <w:b w:val="0"/>
                <w:sz w:val="20"/>
              </w:rPr>
              <w:t>UGX 8,500.00</w:t>
            </w:r>
          </w:p>
        </w:tc>
      </w:tr>
      <w:tr>
        <w:tc>
          <w:tcPr>
            <w:tcW w:type="dxa" w:w="4680"/>
          </w:tcPr>
          <w:p>
            <w:pPr>
              <w:spacing w:line="240" w:lineRule="auto" w:after="40"/>
            </w:pPr>
            <w:r>
              <w:rPr>
                <w:rFonts w:ascii="Times New Roman" w:hAnsi="Times New Roman"/>
                <w:b w:val="0"/>
                <w:sz w:val="20"/>
              </w:rPr>
            </w:r>
            <w:r>
              <w:rPr>
                <w:rFonts w:ascii="Times New Roman" w:hAnsi="Times New Roman"/>
                <w:b w:val="0"/>
                <w:sz w:val="20"/>
              </w:rPr>
              <w:t>Sale price to schools</w:t>
            </w:r>
          </w:p>
        </w:tc>
        <w:tc>
          <w:tcPr>
            <w:tcW w:type="dxa" w:w="4680"/>
          </w:tcPr>
          <w:p>
            <w:pPr>
              <w:spacing w:line="240" w:lineRule="auto" w:after="40"/>
            </w:pPr>
            <w:r>
              <w:rPr>
                <w:rFonts w:ascii="Times New Roman" w:hAnsi="Times New Roman"/>
                <w:b w:val="0"/>
                <w:sz w:val="20"/>
              </w:rPr>
            </w:r>
            <w:r>
              <w:rPr>
                <w:rFonts w:ascii="Times New Roman" w:hAnsi="Times New Roman"/>
                <w:b w:val="0"/>
                <w:sz w:val="20"/>
              </w:rPr>
              <w:t>UGX 25,000.00</w:t>
            </w:r>
          </w:p>
        </w:tc>
      </w:tr>
      <w:tr>
        <w:tc>
          <w:tcPr>
            <w:tcW w:type="dxa" w:w="4680"/>
          </w:tcPr>
          <w:p>
            <w:pPr>
              <w:spacing w:line="240" w:lineRule="auto" w:after="40"/>
            </w:pPr>
            <w:r>
              <w:rPr>
                <w:rFonts w:ascii="Times New Roman" w:hAnsi="Times New Roman"/>
                <w:b w:val="0"/>
                <w:sz w:val="20"/>
              </w:rPr>
            </w:r>
            <w:r>
              <w:rPr>
                <w:rFonts w:ascii="Times New Roman" w:hAnsi="Times New Roman"/>
                <w:b w:val="0"/>
                <w:sz w:val="20"/>
              </w:rPr>
              <w:t>Salvage value of an unsold copy</w:t>
            </w:r>
          </w:p>
        </w:tc>
        <w:tc>
          <w:tcPr>
            <w:tcW w:type="dxa" w:w="4680"/>
          </w:tcPr>
          <w:p>
            <w:pPr>
              <w:spacing w:line="240" w:lineRule="auto" w:after="40"/>
            </w:pPr>
            <w:r>
              <w:rPr>
                <w:rFonts w:ascii="Times New Roman" w:hAnsi="Times New Roman"/>
                <w:b w:val="0"/>
                <w:sz w:val="20"/>
              </w:rPr>
            </w:r>
            <w:r>
              <w:rPr>
                <w:rFonts w:ascii="Times New Roman" w:hAnsi="Times New Roman"/>
                <w:b w:val="0"/>
                <w:sz w:val="20"/>
              </w:rPr>
              <w:t>UGX 500.00</w:t>
            </w:r>
          </w:p>
        </w:tc>
      </w:tr>
      <w:tr>
        <w:tc>
          <w:tcPr>
            <w:tcW w:type="dxa" w:w="4680"/>
          </w:tcPr>
          <w:p>
            <w:pPr>
              <w:spacing w:line="240" w:lineRule="auto" w:after="40"/>
            </w:pPr>
            <w:r>
              <w:rPr>
                <w:rFonts w:ascii="Times New Roman" w:hAnsi="Times New Roman"/>
                <w:b w:val="0"/>
                <w:sz w:val="20"/>
              </w:rPr>
            </w:r>
            <w:r>
              <w:rPr>
                <w:rFonts w:ascii="Times New Roman" w:hAnsi="Times New Roman"/>
                <w:b w:val="0"/>
                <w:sz w:val="20"/>
              </w:rPr>
              <w:t>Underage cost Cu</w:t>
            </w:r>
          </w:p>
        </w:tc>
        <w:tc>
          <w:tcPr>
            <w:tcW w:type="dxa" w:w="4680"/>
          </w:tcPr>
          <w:p>
            <w:pPr>
              <w:spacing w:line="240" w:lineRule="auto" w:after="40"/>
            </w:pPr>
            <w:r>
              <w:rPr>
                <w:rFonts w:ascii="Times New Roman" w:hAnsi="Times New Roman"/>
                <w:b w:val="0"/>
                <w:sz w:val="20"/>
              </w:rPr>
            </w:r>
            <w:r>
              <w:rPr>
                <w:rFonts w:ascii="Times New Roman" w:hAnsi="Times New Roman"/>
                <w:b w:val="0"/>
                <w:sz w:val="20"/>
              </w:rPr>
              <w:t>UGX 16,500.00</w:t>
            </w:r>
          </w:p>
        </w:tc>
      </w:tr>
      <w:tr>
        <w:tc>
          <w:tcPr>
            <w:tcW w:type="dxa" w:w="4680"/>
          </w:tcPr>
          <w:p>
            <w:pPr>
              <w:spacing w:line="240" w:lineRule="auto" w:after="40"/>
            </w:pPr>
            <w:r>
              <w:rPr>
                <w:rFonts w:ascii="Times New Roman" w:hAnsi="Times New Roman"/>
                <w:b w:val="0"/>
                <w:sz w:val="20"/>
              </w:rPr>
            </w:r>
            <w:r>
              <w:rPr>
                <w:rFonts w:ascii="Times New Roman" w:hAnsi="Times New Roman"/>
                <w:b w:val="0"/>
                <w:sz w:val="20"/>
              </w:rPr>
              <w:t>Overage cost Co</w:t>
            </w:r>
          </w:p>
        </w:tc>
        <w:tc>
          <w:tcPr>
            <w:tcW w:type="dxa" w:w="4680"/>
          </w:tcPr>
          <w:p>
            <w:pPr>
              <w:spacing w:line="240" w:lineRule="auto" w:after="40"/>
            </w:pPr>
            <w:r>
              <w:rPr>
                <w:rFonts w:ascii="Times New Roman" w:hAnsi="Times New Roman"/>
                <w:b w:val="0"/>
                <w:sz w:val="20"/>
              </w:rPr>
            </w:r>
            <w:r>
              <w:rPr>
                <w:rFonts w:ascii="Times New Roman" w:hAnsi="Times New Roman"/>
                <w:b w:val="0"/>
                <w:sz w:val="20"/>
              </w:rPr>
              <w:t>UGX 8,000.00</w:t>
            </w:r>
          </w:p>
        </w:tc>
      </w:tr>
      <w:tr>
        <w:tc>
          <w:tcPr>
            <w:tcW w:type="dxa" w:w="4680"/>
          </w:tcPr>
          <w:p>
            <w:pPr>
              <w:spacing w:line="240" w:lineRule="auto" w:after="40"/>
            </w:pPr>
            <w:r>
              <w:rPr>
                <w:rFonts w:ascii="Times New Roman" w:hAnsi="Times New Roman"/>
                <w:b w:val="0"/>
                <w:sz w:val="20"/>
              </w:rPr>
            </w:r>
            <w:r>
              <w:rPr>
                <w:rFonts w:ascii="Times New Roman" w:hAnsi="Times New Roman"/>
                <w:b w:val="0"/>
                <w:sz w:val="20"/>
              </w:rPr>
              <w:t>Critical ratio</w:t>
            </w:r>
          </w:p>
        </w:tc>
        <w:tc>
          <w:tcPr>
            <w:tcW w:type="dxa" w:w="4680"/>
          </w:tcPr>
          <w:p>
            <w:pPr>
              <w:spacing w:line="240" w:lineRule="auto" w:after="40"/>
            </w:pPr>
            <w:r>
              <w:rPr>
                <w:rFonts w:ascii="Times New Roman" w:hAnsi="Times New Roman"/>
                <w:b w:val="0"/>
                <w:sz w:val="20"/>
              </w:rPr>
            </w:r>
            <w:r>
              <w:rPr>
                <w:rFonts w:ascii="Times New Roman" w:hAnsi="Times New Roman"/>
                <w:b w:val="0"/>
                <w:sz w:val="20"/>
              </w:rPr>
              <w:t>0.6735</w:t>
            </w:r>
          </w:p>
        </w:tc>
      </w:tr>
      <w:tr>
        <w:tc>
          <w:tcPr>
            <w:tcW w:type="dxa" w:w="4680"/>
          </w:tcPr>
          <w:p>
            <w:pPr>
              <w:spacing w:line="240" w:lineRule="auto" w:after="40"/>
            </w:pPr>
            <w:r>
              <w:rPr>
                <w:rFonts w:ascii="Times New Roman" w:hAnsi="Times New Roman"/>
                <w:b w:val="0"/>
                <w:sz w:val="20"/>
              </w:rPr>
            </w:r>
            <w:r>
              <w:rPr>
                <w:rFonts w:ascii="Times New Roman" w:hAnsi="Times New Roman"/>
                <w:b w:val="0"/>
                <w:sz w:val="20"/>
              </w:rPr>
              <w:t>Forecast demand</w:t>
            </w:r>
          </w:p>
        </w:tc>
        <w:tc>
          <w:tcPr>
            <w:tcW w:type="dxa" w:w="4680"/>
          </w:tcPr>
          <w:p>
            <w:pPr>
              <w:spacing w:line="240" w:lineRule="auto" w:after="40"/>
            </w:pPr>
            <w:r>
              <w:rPr>
                <w:rFonts w:ascii="Times New Roman" w:hAnsi="Times New Roman"/>
                <w:b w:val="0"/>
                <w:sz w:val="20"/>
              </w:rPr>
            </w:r>
            <w:r>
              <w:rPr>
                <w:rFonts w:ascii="Times New Roman" w:hAnsi="Times New Roman"/>
                <w:b w:val="0"/>
                <w:sz w:val="20"/>
              </w:rPr>
              <w:t>Normal, mean 10,000, standard deviation 2,500</w:t>
            </w:r>
          </w:p>
        </w:tc>
      </w:tr>
      <w:tr>
        <w:tc>
          <w:tcPr>
            <w:tcW w:type="dxa" w:w="4680"/>
          </w:tcPr>
          <w:p>
            <w:pPr>
              <w:spacing w:line="240" w:lineRule="auto" w:after="40"/>
            </w:pPr>
            <w:r>
              <w:rPr>
                <w:rFonts w:ascii="Times New Roman" w:hAnsi="Times New Roman"/>
                <w:b w:val="0"/>
                <w:sz w:val="20"/>
              </w:rPr>
            </w:r>
            <w:r>
              <w:rPr>
                <w:rFonts w:ascii="Times New Roman" w:hAnsi="Times New Roman"/>
                <w:b w:val="0"/>
                <w:sz w:val="20"/>
              </w:rPr>
              <w:t>z at 0.6735</w:t>
            </w:r>
          </w:p>
        </w:tc>
        <w:tc>
          <w:tcPr>
            <w:tcW w:type="dxa" w:w="4680"/>
          </w:tcPr>
          <w:p>
            <w:pPr>
              <w:spacing w:line="240" w:lineRule="auto" w:after="40"/>
            </w:pPr>
            <w:r>
              <w:rPr>
                <w:rFonts w:ascii="Times New Roman" w:hAnsi="Times New Roman"/>
                <w:b w:val="0"/>
                <w:sz w:val="20"/>
              </w:rPr>
            </w:r>
            <w:r>
              <w:rPr>
                <w:rFonts w:ascii="Times New Roman" w:hAnsi="Times New Roman"/>
                <w:b w:val="0"/>
                <w:sz w:val="20"/>
              </w:rPr>
              <w:t>0.45</w:t>
            </w:r>
          </w:p>
        </w:tc>
      </w:tr>
      <w:tr>
        <w:tc>
          <w:tcPr>
            <w:tcW w:type="dxa" w:w="4680"/>
          </w:tcPr>
          <w:p>
            <w:pPr>
              <w:spacing w:line="240" w:lineRule="auto" w:after="40"/>
            </w:pPr>
            <w:r>
              <w:rPr>
                <w:rFonts w:ascii="Times New Roman" w:hAnsi="Times New Roman"/>
                <w:b w:val="0"/>
                <w:sz w:val="20"/>
              </w:rPr>
            </w:r>
            <w:r>
              <w:rPr>
                <w:rFonts w:ascii="Times New Roman" w:hAnsi="Times New Roman"/>
                <w:b w:val="0"/>
                <w:sz w:val="20"/>
              </w:rPr>
              <w:t>Optimal print run Q</w:t>
            </w:r>
            <w:r>
              <w:rPr>
                <w:rFonts w:ascii="Times New Roman" w:hAnsi="Times New Roman"/>
                <w:b w:val="0"/>
                <w:sz w:val="20"/>
              </w:rPr>
              <w:t>*</w:t>
            </w:r>
          </w:p>
        </w:tc>
        <w:tc>
          <w:tcPr>
            <w:tcW w:type="dxa" w:w="4680"/>
          </w:tcPr>
          <w:p>
            <w:pPr>
              <w:spacing w:line="240" w:lineRule="auto" w:after="40"/>
            </w:pPr>
            <w:r>
              <w:rPr>
                <w:rFonts w:ascii="Times New Roman" w:hAnsi="Times New Roman"/>
                <w:b w:val="0"/>
                <w:sz w:val="20"/>
              </w:rPr>
            </w:r>
            <w:r>
              <w:rPr>
                <w:rFonts w:ascii="Times New Roman" w:hAnsi="Times New Roman"/>
                <w:b w:val="0"/>
                <w:sz w:val="20"/>
              </w:rPr>
              <w:t>11,125 copies</w:t>
            </w:r>
          </w:p>
        </w:tc>
      </w:tr>
    </w:tbl>
    <w:p/>
    <w:p>
      <w:pPr>
        <w:spacing w:line="360" w:lineRule="auto"/>
        <w:jc w:val="both"/>
      </w:pPr>
      <w:r>
        <w:rPr>
          <w:rFonts w:ascii="Times New Roman" w:hAnsi="Times New Roman"/>
          <w:b w:val="0"/>
        </w:rPr>
        <w:t>The result is the argument in a single line. A manager estimating by eye orders 10,000, the mean. The analysis prescribes 11,125, because underage costs roughly twice what overage costs and the optimum therefore sits deliberately above the mean. That number cannot be produced by data entry and retrieval. It falls out of a cost structure combined with a demand distribution, which is precisely what slide 11 asks to see.</w:t>
      </w:r>
    </w:p>
    <w:p>
      <w:pPr>
        <w:pStyle w:val="Heading3"/>
      </w:pPr>
      <w:r>
        <w:rPr>
          <w:rFonts w:ascii="Times New Roman" w:hAnsi="Times New Roman"/>
        </w:rPr>
        <w:t>Supporting formulas</w:t>
      </w:r>
    </w:p>
    <w:p>
      <w:pPr>
        <w:spacing w:line="360" w:lineRule="auto"/>
        <w:jc w:val="both"/>
      </w:pPr>
      <w:r>
        <w:rPr>
          <w:rFonts w:ascii="Times New Roman" w:hAnsi="Times New Roman"/>
          <w:b/>
        </w:rPr>
        <w:t>Safety stock</w:t>
      </w:r>
      <w:r>
        <w:rPr>
          <w:rFonts w:ascii="Times New Roman" w:hAnsi="Times New Roman"/>
          <w:b w:val="0"/>
        </w:rPr>
        <w:t xml:space="preserve"> under both demand and lead time variability:</w:t>
      </w:r>
    </w:p>
    <w:p>
      <w:pPr>
        <w:spacing w:line="360" w:lineRule="auto"/>
        <w:jc w:val="both"/>
      </w:pPr>
      <w:r>
        <w:rPr>
          <w:rFonts w:ascii="Times New Roman" w:hAnsi="Times New Roman"/>
          <w:b w:val="0"/>
        </w:rPr>
        <w:t>SS = Z × square root of ( LT_mean × sigma_d squared + d_mean squared × sigma_LT squared )</w:t>
      </w:r>
    </w:p>
    <w:p>
      <w:pPr>
        <w:spacing w:line="360" w:lineRule="auto"/>
        <w:jc w:val="both"/>
      </w:pPr>
      <w:r>
        <w:rPr>
          <w:rFonts w:ascii="Times New Roman" w:hAnsi="Times New Roman"/>
          <w:b/>
        </w:rPr>
        <w:t>Reorder point:</w:t>
      </w:r>
    </w:p>
    <w:p>
      <w:pPr>
        <w:spacing w:line="360" w:lineRule="auto"/>
        <w:jc w:val="both"/>
      </w:pPr>
      <w:r>
        <w:rPr>
          <w:rFonts w:ascii="Times New Roman" w:hAnsi="Times New Roman"/>
          <w:b w:val="0"/>
        </w:rPr>
        <w:t>ROP = ( d_mean × LT_mean ) + SS</w:t>
      </w:r>
    </w:p>
    <w:p>
      <w:pPr>
        <w:spacing w:line="360" w:lineRule="auto"/>
        <w:jc w:val="both"/>
      </w:pPr>
      <w:r>
        <w:rPr>
          <w:rFonts w:ascii="Times New Roman" w:hAnsi="Times New Roman"/>
          <w:b/>
        </w:rPr>
        <w:t>Economic order quantity</w:t>
      </w:r>
      <w:r>
        <w:rPr>
          <w:rFonts w:ascii="Times New Roman" w:hAnsi="Times New Roman"/>
          <w:b w:val="0"/>
        </w:rPr>
        <w:t>, as the continuous-replenishment baseline the print run case is compared against:</w:t>
      </w:r>
    </w:p>
    <w:p>
      <w:pPr>
        <w:spacing w:line="360" w:lineRule="auto"/>
        <w:jc w:val="both"/>
      </w:pPr>
      <w:r>
        <w:rPr>
          <w:rFonts w:ascii="Times New Roman" w:hAnsi="Times New Roman"/>
          <w:b w:val="0"/>
        </w:rPr>
        <w:t>EOQ = square root of ( 2 × D × S / H )</w:t>
      </w:r>
    </w:p>
    <w:p>
      <w:pPr>
        <w:spacing w:line="360" w:lineRule="auto"/>
        <w:jc w:val="both"/>
      </w:pPr>
      <w:r>
        <w:rPr>
          <w:rFonts w:ascii="Times New Roman" w:hAnsi="Times New Roman"/>
          <w:b w:val="0"/>
        </w:rPr>
        <w:t>where D is annual demand, S is setup or order cost, and H is holding cost per unit per year.</w:t>
      </w:r>
    </w:p>
    <w:p>
      <w:pPr>
        <w:pStyle w:val="Heading3"/>
      </w:pPr>
      <w:r>
        <w:rPr>
          <w:rFonts w:ascii="Times New Roman" w:hAnsi="Times New Roman"/>
        </w:rPr>
        <w:t>Validating the analytics</w:t>
      </w:r>
    </w:p>
    <w:p>
      <w:pPr>
        <w:spacing w:line="360" w:lineRule="auto"/>
        <w:jc w:val="both"/>
      </w:pPr>
      <w:r>
        <w:rPr>
          <w:rFonts w:ascii="Times New Roman" w:hAnsi="Times New Roman"/>
          <w:b w:val="0"/>
        </w:rPr>
        <w:t>Analytics that are never validated are assertions. The report must include:</w:t>
      </w:r>
    </w:p>
    <w:p>
      <w:pPr>
        <w:pStyle w:val="ListBullet"/>
        <w:spacing w:line="360" w:lineRule="auto"/>
      </w:pPr>
      <w:r>
        <w:rPr>
          <w:rFonts w:ascii="Times New Roman" w:hAnsi="Times New Roman"/>
          <w:b w:val="0"/>
        </w:rPr>
        <w:t>Forecast accuracy as MAPE and RMSE, measured against a naive seasonal baseline such as "same as the equivalent term last year"</w:t>
      </w:r>
    </w:p>
    <w:p>
      <w:pPr>
        <w:pStyle w:val="ListBullet"/>
        <w:spacing w:line="360" w:lineRule="auto"/>
      </w:pPr>
      <w:r>
        <w:rPr>
          <w:rFonts w:ascii="Times New Roman" w:hAnsi="Times New Roman"/>
          <w:b/>
        </w:rPr>
        <w:t>Walk-forward backtesting</w:t>
      </w:r>
      <w:r>
        <w:rPr>
          <w:rFonts w:ascii="Times New Roman" w:hAnsi="Times New Roman"/>
          <w:b w:val="0"/>
        </w:rPr>
        <w:t>, so that no future term leaks into a past prediction</w:t>
      </w:r>
    </w:p>
    <w:p>
      <w:pPr>
        <w:pStyle w:val="ListBullet"/>
        <w:spacing w:line="360" w:lineRule="auto"/>
      </w:pPr>
      <w:r>
        <w:rPr>
          <w:rFonts w:ascii="Times New Roman" w:hAnsi="Times New Roman"/>
          <w:b w:val="0"/>
        </w:rPr>
        <w:t>An honest statement of the result. If the model does not beat the naive baseline, report that. It is still a finding, and reporting it is better science than quietly tuning until a favourable number appears.</w:t>
      </w:r>
    </w:p>
    <w:p>
      <w:pPr>
        <w:pStyle w:val="Heading3"/>
      </w:pPr>
      <w:r>
        <w:rPr>
          <w:rFonts w:ascii="Times New Roman" w:hAnsi="Times New Roman"/>
        </w:rPr>
        <w:t>Making the analysis visible</w:t>
      </w:r>
    </w:p>
    <w:p>
      <w:pPr>
        <w:spacing w:line="360" w:lineRule="auto"/>
        <w:jc w:val="both"/>
      </w:pPr>
      <w:r>
        <w:rPr>
          <w:rFonts w:ascii="Times New Roman" w:hAnsi="Times New Roman"/>
          <w:b w:val="0"/>
        </w:rPr>
        <w:t>A practical trap worth naming. If every screen in the dashboard is a table of rows, a reader sees data entry and retrieval regardless of the quality of the mathematics behind it. At least three screens must display analysis rather than records:</w:t>
      </w:r>
    </w:p>
    <w:p>
      <w:pPr>
        <w:pStyle w:val="ListNumber"/>
        <w:spacing w:line="360" w:lineRule="auto"/>
      </w:pPr>
      <w:r>
        <w:rPr>
          <w:rFonts w:ascii="Times New Roman" w:hAnsi="Times New Roman"/>
          <w:b w:val="0"/>
        </w:rPr>
        <w:t>The demand forecast with its confidence band</w:t>
      </w:r>
    </w:p>
    <w:p>
      <w:pPr>
        <w:pStyle w:val="ListNumber"/>
        <w:spacing w:line="360" w:lineRule="auto"/>
      </w:pPr>
      <w:r>
        <w:rPr>
          <w:rFonts w:ascii="Times New Roman" w:hAnsi="Times New Roman"/>
          <w:b w:val="0"/>
        </w:rPr>
        <w:t>The service level versus cost tradeoff curve, showing why Q* sits where it does</w:t>
      </w:r>
    </w:p>
    <w:p>
      <w:pPr>
        <w:pStyle w:val="ListNumber"/>
        <w:spacing w:line="360" w:lineRule="auto"/>
      </w:pPr>
      <w:r>
        <w:rPr>
          <w:rFonts w:ascii="Times New Roman" w:hAnsi="Times New Roman"/>
          <w:b w:val="0"/>
        </w:rPr>
        <w:t>Supplier reliability as distributions, not as supplier records</w:t>
      </w:r>
    </w:p>
    <w:p>
      <w:pPr>
        <w:pStyle w:val="Heading2"/>
      </w:pPr>
      <w:r>
        <w:rPr>
          <w:rFonts w:ascii="Times New Roman" w:hAnsi="Times New Roman"/>
        </w:rPr>
        <w:t>8. Replace the four-layer architecture</w:t>
      </w:r>
    </w:p>
    <w:p>
      <w:pPr>
        <w:spacing w:line="360" w:lineRule="auto"/>
        <w:jc w:val="both"/>
      </w:pPr>
      <w:r>
        <w:rPr>
          <w:rFonts w:ascii="Times New Roman" w:hAnsi="Times New Roman"/>
          <w:b w:val="0"/>
        </w:rPr>
        <w:t>The four-layer table reads as enterprise architecture theatre. Replace it everywhere a non-technical reader will look with five verbs:</w:t>
      </w:r>
    </w:p>
    <w:p>
      <w:pPr>
        <w:spacing w:line="360" w:lineRule="auto"/>
        <w:jc w:val="both"/>
      </w:pPr>
      <w:r>
        <w:rPr>
          <w:rFonts w:ascii="Times New Roman" w:hAnsi="Times New Roman"/>
          <w:b/>
        </w:rPr>
        <w:t>Sense → Forecast → Decide → Explain → Approve</w:t>
      </w:r>
    </w:p>
    <w:p>
      <w:pPr>
        <w:spacing w:line="360" w:lineRule="auto"/>
        <w:jc w:val="both"/>
      </w:pPr>
      <w:r>
        <w:rPr>
          <w:rFonts w:ascii="Times New Roman" w:hAnsi="Times New Roman"/>
          <w:b w:val="0"/>
        </w:rPr>
        <w:t>Same system, no jargon, and the human is visibly the final step rather than buried inside "Layer 4". Keep the layered table in the technical appendix if it is useful there.</w:t>
      </w:r>
    </w:p>
    <w:p>
      <w:pPr>
        <w:pStyle w:val="Heading2"/>
      </w:pPr>
      <w:r>
        <w:rPr>
          <w:rFonts w:ascii="Times New Roman" w:hAnsi="Times New Roman"/>
        </w:rPr>
        <w:t>9. Promote the Activity Log from feature to thesis</w:t>
      </w:r>
    </w:p>
    <w:p>
      <w:pPr>
        <w:spacing w:line="360" w:lineRule="auto"/>
        <w:jc w:val="both"/>
      </w:pPr>
      <w:r>
        <w:rPr>
          <w:rFonts w:ascii="Times New Roman" w:hAnsi="Times New Roman"/>
          <w:b w:val="0"/>
        </w:rPr>
        <w:t>The Live Agent Activity Log is currently positioned as a "key differentiator." It should be positioned as the research question of the project.</w:t>
      </w:r>
    </w:p>
    <w:p>
      <w:pPr>
        <w:spacing w:line="360" w:lineRule="auto"/>
        <w:jc w:val="both"/>
      </w:pPr>
      <w:r>
        <w:rPr>
          <w:rFonts w:ascii="Times New Roman" w:hAnsi="Times New Roman"/>
          <w:b w:val="0"/>
        </w:rPr>
        <w:t>The interesting question is not whether stock can be forecast. That is solved and unremarkable. The question is:</w:t>
      </w:r>
    </w:p>
    <w:p>
      <w:pPr>
        <w:spacing w:line="360" w:lineRule="auto"/>
        <w:ind w:left="576"/>
        <w:jc w:val="both"/>
      </w:pPr>
      <w:r>
        <w:rPr>
          <w:rFonts w:ascii="Times New Roman" w:hAnsi="Times New Roman"/>
          <w:b/>
          <w:i/>
        </w:rPr>
        <w:t>What must an autonomous agent show a human before that human will delegate spending authority to it?</w:t>
      </w:r>
    </w:p>
    <w:p>
      <w:pPr>
        <w:spacing w:line="360" w:lineRule="auto"/>
        <w:jc w:val="both"/>
      </w:pPr>
      <w:r>
        <w:rPr>
          <w:rFonts w:ascii="Times New Roman" w:hAnsi="Times New Roman"/>
          <w:b w:val="0"/>
        </w:rPr>
        <w:t>This is a live and unsolved question in human-AI collaboration, and it gives the project an evaluation metric that is genuinely original.</w:t>
      </w:r>
    </w:p>
    <w:p>
      <w:pPr>
        <w:spacing w:line="360" w:lineRule="auto"/>
        <w:jc w:val="both"/>
      </w:pPr>
      <w:r>
        <w:rPr>
          <w:rFonts w:ascii="Times New Roman" w:hAnsi="Times New Roman"/>
          <w:b/>
        </w:rPr>
        <w:t>Proposed evaluation metrics:</w:t>
      </w:r>
    </w:p>
    <w:p>
      <w:pPr>
        <w:spacing w:after="40"/>
        <w:jc w:val="left"/>
      </w:pPr>
      <w:r>
        <w:rPr>
          <w:rFonts w:ascii="Times New Roman" w:hAnsi="Times New Roman"/>
          <w:b/>
          <w:sz w:val="22"/>
        </w:rPr>
        <w:t xml:space="preserve">Table 5: </w:t>
      </w:r>
      <w:r>
        <w:rPr>
          <w:rFonts w:ascii="Times New Roman" w:hAnsi="Times New Roman"/>
          <w:sz w:val="22"/>
        </w:rPr>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after="40"/>
            </w:pPr>
            <w:r>
              <w:rPr>
                <w:rFonts w:ascii="Times New Roman" w:hAnsi="Times New Roman"/>
                <w:b/>
                <w:sz w:val="20"/>
              </w:rPr>
            </w:r>
            <w:r>
              <w:rPr>
                <w:rFonts w:ascii="Times New Roman" w:hAnsi="Times New Roman"/>
                <w:b/>
                <w:sz w:val="20"/>
              </w:rPr>
              <w:t>Metric</w:t>
            </w:r>
          </w:p>
        </w:tc>
        <w:tc>
          <w:tcPr>
            <w:tcW w:type="dxa" w:w="4680"/>
          </w:tcPr>
          <w:p>
            <w:pPr>
              <w:spacing w:line="240" w:lineRule="auto" w:after="40"/>
            </w:pPr>
            <w:r>
              <w:rPr>
                <w:rFonts w:ascii="Times New Roman" w:hAnsi="Times New Roman"/>
                <w:b/>
                <w:sz w:val="20"/>
              </w:rPr>
            </w:r>
            <w:r>
              <w:rPr>
                <w:rFonts w:ascii="Times New Roman" w:hAnsi="Times New Roman"/>
                <w:b/>
                <w:sz w:val="20"/>
              </w:rPr>
              <w:t>What it measures</w:t>
            </w:r>
          </w:p>
        </w:tc>
      </w:tr>
      <w:tr>
        <w:tc>
          <w:tcPr>
            <w:tcW w:type="dxa" w:w="4680"/>
          </w:tcPr>
          <w:p>
            <w:pPr>
              <w:spacing w:line="240" w:lineRule="auto" w:after="40"/>
            </w:pPr>
            <w:r>
              <w:rPr>
                <w:rFonts w:ascii="Times New Roman" w:hAnsi="Times New Roman"/>
                <w:b w:val="0"/>
                <w:sz w:val="20"/>
              </w:rPr>
            </w:r>
            <w:r>
              <w:rPr>
                <w:rFonts w:ascii="Times New Roman" w:hAnsi="Times New Roman"/>
                <w:b w:val="0"/>
                <w:sz w:val="20"/>
              </w:rPr>
              <w:t>Override rate over time</w:t>
            </w:r>
          </w:p>
        </w:tc>
        <w:tc>
          <w:tcPr>
            <w:tcW w:type="dxa" w:w="4680"/>
          </w:tcPr>
          <w:p>
            <w:pPr>
              <w:spacing w:line="240" w:lineRule="auto" w:after="40"/>
            </w:pPr>
            <w:r>
              <w:rPr>
                <w:rFonts w:ascii="Times New Roman" w:hAnsi="Times New Roman"/>
                <w:b w:val="0"/>
                <w:sz w:val="20"/>
              </w:rPr>
            </w:r>
            <w:r>
              <w:rPr>
                <w:rFonts w:ascii="Times New Roman" w:hAnsi="Times New Roman"/>
                <w:b w:val="0"/>
                <w:sz w:val="20"/>
              </w:rPr>
              <w:t>Whether the manager's trust in the agent grows as it explains itself</w:t>
            </w:r>
          </w:p>
        </w:tc>
      </w:tr>
      <w:tr>
        <w:tc>
          <w:tcPr>
            <w:tcW w:type="dxa" w:w="4680"/>
          </w:tcPr>
          <w:p>
            <w:pPr>
              <w:spacing w:line="240" w:lineRule="auto" w:after="40"/>
            </w:pPr>
            <w:r>
              <w:rPr>
                <w:rFonts w:ascii="Times New Roman" w:hAnsi="Times New Roman"/>
                <w:b w:val="0"/>
                <w:sz w:val="20"/>
              </w:rPr>
            </w:r>
            <w:r>
              <w:rPr>
                <w:rFonts w:ascii="Times New Roman" w:hAnsi="Times New Roman"/>
                <w:b w:val="0"/>
                <w:sz w:val="20"/>
              </w:rPr>
              <w:t>Decision latency</w:t>
            </w:r>
          </w:p>
        </w:tc>
        <w:tc>
          <w:tcPr>
            <w:tcW w:type="dxa" w:w="4680"/>
          </w:tcPr>
          <w:p>
            <w:pPr>
              <w:spacing w:line="240" w:lineRule="auto" w:after="40"/>
            </w:pPr>
            <w:r>
              <w:rPr>
                <w:rFonts w:ascii="Times New Roman" w:hAnsi="Times New Roman"/>
                <w:b w:val="0"/>
                <w:sz w:val="20"/>
              </w:rPr>
            </w:r>
            <w:r>
              <w:rPr>
                <w:rFonts w:ascii="Times New Roman" w:hAnsi="Times New Roman"/>
                <w:b w:val="0"/>
                <w:sz w:val="20"/>
              </w:rPr>
              <w:t>Time from signal existing in data to action taken, agent versus manual baseline</w:t>
            </w:r>
          </w:p>
        </w:tc>
      </w:tr>
      <w:tr>
        <w:tc>
          <w:tcPr>
            <w:tcW w:type="dxa" w:w="4680"/>
          </w:tcPr>
          <w:p>
            <w:pPr>
              <w:spacing w:line="240" w:lineRule="auto" w:after="40"/>
            </w:pPr>
            <w:r>
              <w:rPr>
                <w:rFonts w:ascii="Times New Roman" w:hAnsi="Times New Roman"/>
                <w:b w:val="0"/>
                <w:sz w:val="20"/>
              </w:rPr>
            </w:r>
            <w:r>
              <w:rPr>
                <w:rFonts w:ascii="Times New Roman" w:hAnsi="Times New Roman"/>
                <w:b w:val="0"/>
                <w:sz w:val="20"/>
              </w:rPr>
              <w:t>Forecast accuracy versus naive baseline</w:t>
            </w:r>
          </w:p>
        </w:tc>
        <w:tc>
          <w:tcPr>
            <w:tcW w:type="dxa" w:w="4680"/>
          </w:tcPr>
          <w:p>
            <w:pPr>
              <w:spacing w:line="240" w:lineRule="auto" w:after="40"/>
            </w:pPr>
            <w:r>
              <w:rPr>
                <w:rFonts w:ascii="Times New Roman" w:hAnsi="Times New Roman"/>
                <w:b w:val="0"/>
                <w:sz w:val="20"/>
              </w:rPr>
            </w:r>
            <w:r>
              <w:rPr>
                <w:rFonts w:ascii="Times New Roman" w:hAnsi="Times New Roman"/>
                <w:b w:val="0"/>
                <w:sz w:val="20"/>
              </w:rPr>
              <w:t>Whether the modelling earns its complexity</w:t>
            </w:r>
          </w:p>
        </w:tc>
      </w:tr>
      <w:tr>
        <w:tc>
          <w:tcPr>
            <w:tcW w:type="dxa" w:w="4680"/>
          </w:tcPr>
          <w:p>
            <w:pPr>
              <w:spacing w:line="240" w:lineRule="auto" w:after="40"/>
            </w:pPr>
            <w:r>
              <w:rPr>
                <w:rFonts w:ascii="Times New Roman" w:hAnsi="Times New Roman"/>
                <w:b w:val="0"/>
                <w:sz w:val="20"/>
              </w:rPr>
            </w:r>
            <w:r>
              <w:rPr>
                <w:rFonts w:ascii="Times New Roman" w:hAnsi="Times New Roman"/>
                <w:b w:val="0"/>
                <w:sz w:val="20"/>
              </w:rPr>
              <w:t>Working capital released</w:t>
            </w:r>
          </w:p>
        </w:tc>
        <w:tc>
          <w:tcPr>
            <w:tcW w:type="dxa" w:w="4680"/>
          </w:tcPr>
          <w:p>
            <w:pPr>
              <w:spacing w:line="240" w:lineRule="auto" w:after="40"/>
            </w:pPr>
            <w:r>
              <w:rPr>
                <w:rFonts w:ascii="Times New Roman" w:hAnsi="Times New Roman"/>
                <w:b w:val="0"/>
                <w:sz w:val="20"/>
              </w:rPr>
            </w:r>
            <w:r>
              <w:rPr>
                <w:rFonts w:ascii="Times New Roman" w:hAnsi="Times New Roman"/>
                <w:b w:val="0"/>
                <w:sz w:val="20"/>
              </w:rPr>
              <w:t>Days of capital freed from stock that should not have been committed</w:t>
            </w:r>
          </w:p>
        </w:tc>
      </w:tr>
    </w:tbl>
    <w:p/>
    <w:p>
      <w:pPr>
        <w:spacing w:line="360" w:lineRule="auto"/>
        <w:jc w:val="both"/>
      </w:pPr>
      <w:r>
        <w:rPr>
          <w:rFonts w:ascii="Times New Roman" w:hAnsi="Times New Roman"/>
          <w:b w:val="0"/>
        </w:rPr>
        <w:t>The override rate is the most valuable of these, because it measures the actual research question rather than a routine engineering one.</w:t>
      </w:r>
    </w:p>
    <w:p>
      <w:pPr>
        <w:pStyle w:val="Heading2"/>
      </w:pPr>
      <w:r>
        <w:rPr>
          <w:rFonts w:ascii="Times New Roman" w:hAnsi="Times New Roman"/>
        </w:rPr>
        <w:t>10. What to cut, and what to move</w:t>
      </w:r>
    </w:p>
    <w:p>
      <w:pPr>
        <w:spacing w:line="360" w:lineRule="auto"/>
        <w:jc w:val="both"/>
      </w:pPr>
      <w:r>
        <w:rPr>
          <w:rFonts w:ascii="Times New Roman" w:hAnsi="Times New Roman"/>
          <w:b/>
        </w:rPr>
        <w:t>Cut from anything a human reads:</w:t>
      </w:r>
    </w:p>
    <w:p>
      <w:pPr>
        <w:pStyle w:val="ListBullet"/>
        <w:spacing w:line="360" w:lineRule="auto"/>
      </w:pPr>
      <w:r>
        <w:rPr>
          <w:rFonts w:ascii="Times New Roman" w:hAnsi="Times New Roman"/>
          <w:b w:val="0"/>
        </w:rPr>
        <w:t>The words "orchestration platform"</w:t>
      </w:r>
    </w:p>
    <w:p>
      <w:pPr>
        <w:pStyle w:val="ListBullet"/>
        <w:spacing w:line="360" w:lineRule="auto"/>
      </w:pPr>
      <w:r>
        <w:rPr>
          <w:rFonts w:ascii="Times New Roman" w:hAnsi="Times New Roman"/>
          <w:b w:val="0"/>
        </w:rPr>
        <w:t>"Model Context Protocol" in prose (keep it in the technology stack table)</w:t>
      </w:r>
    </w:p>
    <w:p>
      <w:pPr>
        <w:pStyle w:val="ListBullet"/>
        <w:spacing w:line="360" w:lineRule="auto"/>
      </w:pPr>
      <w:r>
        <w:rPr>
          <w:rFonts w:ascii="Times New Roman" w:hAnsi="Times New Roman"/>
          <w:b w:val="0"/>
        </w:rPr>
        <w:t>"Four-layer architecture" as framing</w:t>
      </w:r>
    </w:p>
    <w:p>
      <w:pPr>
        <w:pStyle w:val="ListBullet"/>
        <w:spacing w:line="360" w:lineRule="auto"/>
      </w:pPr>
      <w:r>
        <w:rPr>
          <w:rFonts w:ascii="Times New Roman" w:hAnsi="Times New Roman"/>
          <w:b w:val="0"/>
        </w:rPr>
        <w:t>The claim of an 80 percent reduction in procurement overhead. This was read from a Gemini autogenerated summary during the team meeting and has no source. Delete it, or restate it as a target to be measured.</w:t>
      </w:r>
    </w:p>
    <w:p>
      <w:pPr>
        <w:spacing w:line="360" w:lineRule="auto"/>
        <w:jc w:val="both"/>
      </w:pPr>
      <w:r>
        <w:rPr>
          <w:rFonts w:ascii="Times New Roman" w:hAnsi="Times New Roman"/>
          <w:b/>
        </w:rPr>
        <w:t>Move to an appendix labelled "Phase 2, BSE 4200":</w:t>
      </w:r>
    </w:p>
    <w:p>
      <w:pPr>
        <w:pStyle w:val="ListBullet"/>
        <w:spacing w:line="360" w:lineRule="auto"/>
      </w:pPr>
      <w:r>
        <w:rPr>
          <w:rFonts w:ascii="Times New Roman" w:hAnsi="Times New Roman"/>
          <w:b w:val="0"/>
        </w:rPr>
        <w:t>The eight-week development roadmap and its milestones</w:t>
      </w:r>
    </w:p>
    <w:p>
      <w:pPr>
        <w:spacing w:line="360" w:lineRule="auto"/>
        <w:jc w:val="both"/>
      </w:pPr>
      <w:r>
        <w:rPr>
          <w:rFonts w:ascii="Times New Roman" w:hAnsi="Times New Roman"/>
          <w:b w:val="0"/>
        </w:rPr>
        <w:t>Rationale: slide 2 states the BSE 4100 objectives are to find a problem, propose a solution, and document requirements. Slide 14 lists the deliverables as the concept paper, the data collection tool, the SRS, and the report. The build belongs to BSE 4200. A development roadmap in the front matter consumes space that should describe the problem and the beneficiaries, and it reinforces the impression of over-engineering.</w:t>
      </w:r>
    </w:p>
    <w:p>
      <w:pPr>
        <w:spacing w:line="360" w:lineRule="auto"/>
        <w:jc w:val="both"/>
      </w:pPr>
      <w:r>
        <w:rPr>
          <w:rFonts w:ascii="Times New Roman" w:hAnsi="Times New Roman"/>
          <w:b/>
        </w:rPr>
        <w:t>Add:</w:t>
      </w:r>
    </w:p>
    <w:p>
      <w:pPr>
        <w:pStyle w:val="ListBullet"/>
        <w:spacing w:line="360" w:lineRule="auto"/>
      </w:pPr>
      <w:r>
        <w:rPr>
          <w:rFonts w:ascii="Times New Roman" w:hAnsi="Times New Roman"/>
          <w:b w:val="0"/>
        </w:rPr>
        <w:t xml:space="preserve">Environmental impact, but </w:t>
      </w:r>
      <w:r>
        <w:rPr>
          <w:rFonts w:ascii="Times New Roman" w:hAnsi="Times New Roman"/>
          <w:b/>
        </w:rPr>
        <w:t>only as a computed output, never as a claim.</w:t>
      </w:r>
      <w:r>
        <w:rPr>
          <w:rFonts w:ascii="Times New Roman" w:hAnsi="Times New Roman"/>
          <w:b w:val="0"/>
        </w:rPr>
        <w:t xml:space="preserve"> Cut all vague carbon-footprint language. The defensible form is a single measured line derived from data already being collected: copies not overprinted, multiplied by pages per copy and paper weight, gives kilograms of paper not wasted. One quantified line earns credit against the environment and SDG sectors on slide 10. An unquantified paragraph reads as padding and invites the same challenge as the deleted 80 percent claim.</w:t>
      </w:r>
    </w:p>
    <w:p>
      <w:pPr>
        <w:pStyle w:val="ListBullet"/>
        <w:spacing w:line="360" w:lineRule="auto"/>
      </w:pPr>
      <w:r>
        <w:rPr>
          <w:rFonts w:ascii="Times New Roman" w:hAnsi="Times New Roman"/>
          <w:b w:val="0"/>
        </w:rPr>
        <w:t>Currency and import exposure on paper as a named constraint, which is local knowledge that no foreign ERP models.</w:t>
      </w:r>
    </w:p>
    <w:p>
      <w:pPr>
        <w:pStyle w:val="Heading2"/>
      </w:pPr>
      <w:r>
        <w:rPr>
          <w:rFonts w:ascii="Times New Roman" w:hAnsi="Times New Roman"/>
        </w:rPr>
        <w:t>11. Risks and what to do about them</w:t>
      </w:r>
    </w:p>
    <w:p>
      <w:pPr>
        <w:spacing w:after="40"/>
        <w:jc w:val="left"/>
      </w:pPr>
      <w:r>
        <w:rPr>
          <w:rFonts w:ascii="Times New Roman" w:hAnsi="Times New Roman"/>
          <w:b/>
          <w:sz w:val="22"/>
        </w:rPr>
        <w:t xml:space="preserve">Table 6: </w:t>
      </w:r>
      <w:r>
        <w:rPr>
          <w:rFonts w:ascii="Times New Roman" w:hAnsi="Times New Roman"/>
          <w:sz w:val="22"/>
        </w:rPr>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after="40"/>
            </w:pPr>
            <w:r>
              <w:rPr>
                <w:rFonts w:ascii="Times New Roman" w:hAnsi="Times New Roman"/>
                <w:b/>
                <w:sz w:val="20"/>
              </w:rPr>
            </w:r>
            <w:r>
              <w:rPr>
                <w:rFonts w:ascii="Times New Roman" w:hAnsi="Times New Roman"/>
                <w:b/>
                <w:sz w:val="20"/>
              </w:rPr>
              <w:t>Risk</w:t>
            </w:r>
          </w:p>
        </w:tc>
        <w:tc>
          <w:tcPr>
            <w:tcW w:type="dxa" w:w="3120"/>
          </w:tcPr>
          <w:p>
            <w:pPr>
              <w:spacing w:line="240" w:lineRule="auto" w:after="40"/>
            </w:pPr>
            <w:r>
              <w:rPr>
                <w:rFonts w:ascii="Times New Roman" w:hAnsi="Times New Roman"/>
                <w:b/>
                <w:sz w:val="20"/>
              </w:rPr>
            </w:r>
            <w:r>
              <w:rPr>
                <w:rFonts w:ascii="Times New Roman" w:hAnsi="Times New Roman"/>
                <w:b/>
                <w:sz w:val="20"/>
              </w:rPr>
              <w:t>Severity</w:t>
            </w:r>
          </w:p>
        </w:tc>
        <w:tc>
          <w:tcPr>
            <w:tcW w:type="dxa" w:w="3120"/>
          </w:tcPr>
          <w:p>
            <w:pPr>
              <w:spacing w:line="240" w:lineRule="auto" w:after="40"/>
            </w:pPr>
            <w:r>
              <w:rPr>
                <w:rFonts w:ascii="Times New Roman" w:hAnsi="Times New Roman"/>
                <w:b/>
                <w:sz w:val="20"/>
              </w:rPr>
            </w:r>
            <w:r>
              <w:rPr>
                <w:rFonts w:ascii="Times New Roman" w:hAnsi="Times New Roman"/>
                <w:b/>
                <w:sz w:val="20"/>
              </w:rPr>
              <w:t>Action</w:t>
            </w:r>
          </w:p>
        </w:tc>
      </w:tr>
      <w:tr>
        <w:tc>
          <w:tcPr>
            <w:tcW w:type="dxa" w:w="3120"/>
          </w:tcPr>
          <w:p>
            <w:pPr>
              <w:spacing w:line="240" w:lineRule="auto" w:after="40"/>
            </w:pPr>
            <w:r>
              <w:rPr>
                <w:rFonts w:ascii="Times New Roman" w:hAnsi="Times New Roman"/>
                <w:b w:val="0"/>
                <w:sz w:val="20"/>
              </w:rPr>
            </w:r>
            <w:r>
              <w:rPr>
                <w:rFonts w:ascii="Times New Roman" w:hAnsi="Times New Roman"/>
                <w:b w:val="0"/>
                <w:sz w:val="20"/>
              </w:rPr>
              <w:t>No beneficiary data by Friday 18 September</w:t>
            </w:r>
          </w:p>
        </w:tc>
        <w:tc>
          <w:tcPr>
            <w:tcW w:type="dxa" w:w="3120"/>
          </w:tcPr>
          <w:p>
            <w:pPr>
              <w:spacing w:line="240" w:lineRule="auto" w:after="40"/>
            </w:pPr>
            <w:r>
              <w:rPr>
                <w:rFonts w:ascii="Times New Roman" w:hAnsi="Times New Roman"/>
                <w:b w:val="0"/>
                <w:sz w:val="20"/>
              </w:rPr>
            </w:r>
            <w:r>
              <w:rPr>
                <w:rFonts w:ascii="Times New Roman" w:hAnsi="Times New Roman"/>
                <w:b w:val="0"/>
                <w:sz w:val="20"/>
              </w:rPr>
              <w:t>Critical</w:t>
            </w:r>
          </w:p>
        </w:tc>
        <w:tc>
          <w:tcPr>
            <w:tcW w:type="dxa" w:w="3120"/>
          </w:tcPr>
          <w:p>
            <w:pPr>
              <w:spacing w:line="240" w:lineRule="auto" w:after="40"/>
            </w:pPr>
            <w:r>
              <w:rPr>
                <w:rFonts w:ascii="Times New Roman" w:hAnsi="Times New Roman"/>
                <w:b w:val="0"/>
                <w:sz w:val="20"/>
              </w:rPr>
            </w:r>
            <w:r>
              <w:rPr>
                <w:rFonts w:ascii="Times New Roman" w:hAnsi="Times New Roman"/>
                <w:b w:val="0"/>
                <w:sz w:val="20"/>
              </w:rPr>
              <w:t>Contact three publishers, not one. Fountain Publishers is currently a single point of failure. Document the outreach itself, since slide 9 requires evidence of requirements from actual beneficiaries.</w:t>
            </w:r>
          </w:p>
        </w:tc>
      </w:tr>
      <w:tr>
        <w:tc>
          <w:tcPr>
            <w:tcW w:type="dxa" w:w="3120"/>
          </w:tcPr>
          <w:p>
            <w:pPr>
              <w:spacing w:line="240" w:lineRule="auto" w:after="40"/>
            </w:pPr>
            <w:r>
              <w:rPr>
                <w:rFonts w:ascii="Times New Roman" w:hAnsi="Times New Roman"/>
                <w:b w:val="0"/>
                <w:sz w:val="20"/>
              </w:rPr>
            </w:r>
            <w:r>
              <w:rPr>
                <w:rFonts w:ascii="Times New Roman" w:hAnsi="Times New Roman"/>
                <w:b w:val="0"/>
                <w:sz w:val="20"/>
              </w:rPr>
              <w:t>Supervisor pattern-matches the body text to slide 12</w:t>
            </w:r>
          </w:p>
        </w:tc>
        <w:tc>
          <w:tcPr>
            <w:tcW w:type="dxa" w:w="3120"/>
          </w:tcPr>
          <w:p>
            <w:pPr>
              <w:spacing w:line="240" w:lineRule="auto" w:after="40"/>
            </w:pPr>
            <w:r>
              <w:rPr>
                <w:rFonts w:ascii="Times New Roman" w:hAnsi="Times New Roman"/>
                <w:b w:val="0"/>
                <w:sz w:val="20"/>
              </w:rPr>
            </w:r>
            <w:r>
              <w:rPr>
                <w:rFonts w:ascii="Times New Roman" w:hAnsi="Times New Roman"/>
                <w:b w:val="0"/>
                <w:sz w:val="20"/>
              </w:rPr>
              <w:t>High</w:t>
            </w:r>
          </w:p>
        </w:tc>
        <w:tc>
          <w:tcPr>
            <w:tcW w:type="dxa" w:w="3120"/>
          </w:tcPr>
          <w:p>
            <w:pPr>
              <w:spacing w:line="240" w:lineRule="auto" w:after="40"/>
            </w:pPr>
            <w:r>
              <w:rPr>
                <w:rFonts w:ascii="Times New Roman" w:hAnsi="Times New Roman"/>
                <w:b w:val="0"/>
                <w:sz w:val="20"/>
              </w:rPr>
            </w:r>
            <w:r>
              <w:rPr>
                <w:rFonts w:ascii="Times New Roman" w:hAnsi="Times New Roman"/>
                <w:b w:val="0"/>
                <w:sz w:val="20"/>
              </w:rPr>
              <w:t>Rewrite the executive summary and section 2 opening in procurement-decision language today. The title stays as submitted.</w:t>
            </w:r>
          </w:p>
        </w:tc>
      </w:tr>
      <w:tr>
        <w:tc>
          <w:tcPr>
            <w:tcW w:type="dxa" w:w="3120"/>
          </w:tcPr>
          <w:p>
            <w:pPr>
              <w:spacing w:line="240" w:lineRule="auto" w:after="40"/>
            </w:pPr>
            <w:r>
              <w:rPr>
                <w:rFonts w:ascii="Times New Roman" w:hAnsi="Times New Roman"/>
                <w:b w:val="0"/>
                <w:sz w:val="20"/>
              </w:rPr>
            </w:r>
            <w:r>
              <w:rPr>
                <w:rFonts w:ascii="Times New Roman" w:hAnsi="Times New Roman"/>
                <w:b w:val="0"/>
                <w:sz w:val="20"/>
              </w:rPr>
              <w:t>Repositioning read as evasion rather than substance</w:t>
            </w:r>
          </w:p>
        </w:tc>
        <w:tc>
          <w:tcPr>
            <w:tcW w:type="dxa" w:w="3120"/>
          </w:tcPr>
          <w:p>
            <w:pPr>
              <w:spacing w:line="240" w:lineRule="auto" w:after="40"/>
            </w:pPr>
            <w:r>
              <w:rPr>
                <w:rFonts w:ascii="Times New Roman" w:hAnsi="Times New Roman"/>
                <w:b w:val="0"/>
                <w:sz w:val="20"/>
              </w:rPr>
            </w:r>
            <w:r>
              <w:rPr>
                <w:rFonts w:ascii="Times New Roman" w:hAnsi="Times New Roman"/>
                <w:b w:val="0"/>
                <w:sz w:val="20"/>
              </w:rPr>
              <w:t>High</w:t>
            </w:r>
          </w:p>
        </w:tc>
        <w:tc>
          <w:tcPr>
            <w:tcW w:type="dxa" w:w="3120"/>
          </w:tcPr>
          <w:p>
            <w:pPr>
              <w:spacing w:line="240" w:lineRule="auto" w:after="40"/>
            </w:pPr>
            <w:r>
              <w:rPr>
                <w:rFonts w:ascii="Times New Roman" w:hAnsi="Times New Roman"/>
                <w:b w:val="0"/>
                <w:sz w:val="20"/>
              </w:rPr>
            </w:r>
            <w:r>
              <w:rPr>
                <w:rFonts w:ascii="Times New Roman" w:hAnsi="Times New Roman"/>
                <w:b w:val="0"/>
                <w:sz w:val="20"/>
              </w:rPr>
              <w:t>Be able to explain, on demand, why an irreversible discrete print run months ahead of a fixed deadline is a different decision class from reordering stock. The defence must be substantive, not linguistic.</w:t>
            </w:r>
          </w:p>
        </w:tc>
      </w:tr>
      <w:tr>
        <w:tc>
          <w:tcPr>
            <w:tcW w:type="dxa" w:w="3120"/>
          </w:tcPr>
          <w:p>
            <w:pPr>
              <w:spacing w:line="240" w:lineRule="auto" w:after="40"/>
            </w:pPr>
            <w:r>
              <w:rPr>
                <w:rFonts w:ascii="Times New Roman" w:hAnsi="Times New Roman"/>
                <w:b w:val="0"/>
                <w:sz w:val="20"/>
              </w:rPr>
            </w:r>
            <w:r>
              <w:rPr>
                <w:rFonts w:ascii="Times New Roman" w:hAnsi="Times New Roman"/>
                <w:b w:val="0"/>
                <w:sz w:val="20"/>
              </w:rPr>
              <w:t>A past cohort already did an inventory project</w:t>
            </w:r>
          </w:p>
        </w:tc>
        <w:tc>
          <w:tcPr>
            <w:tcW w:type="dxa" w:w="3120"/>
          </w:tcPr>
          <w:p>
            <w:pPr>
              <w:spacing w:line="240" w:lineRule="auto" w:after="40"/>
            </w:pPr>
            <w:r>
              <w:rPr>
                <w:rFonts w:ascii="Times New Roman" w:hAnsi="Times New Roman"/>
                <w:b w:val="0"/>
                <w:sz w:val="20"/>
              </w:rPr>
            </w:r>
            <w:r>
              <w:rPr>
                <w:rFonts w:ascii="Times New Roman" w:hAnsi="Times New Roman"/>
                <w:b w:val="0"/>
                <w:sz w:val="20"/>
              </w:rPr>
              <w:t>Medium</w:t>
            </w:r>
          </w:p>
        </w:tc>
        <w:tc>
          <w:tcPr>
            <w:tcW w:type="dxa" w:w="3120"/>
          </w:tcPr>
          <w:p>
            <w:pPr>
              <w:spacing w:line="240" w:lineRule="auto" w:after="40"/>
            </w:pPr>
            <w:r>
              <w:rPr>
                <w:rFonts w:ascii="Times New Roman" w:hAnsi="Times New Roman"/>
                <w:b w:val="0"/>
                <w:sz w:val="20"/>
              </w:rPr>
            </w:r>
            <w:r>
              <w:rPr>
                <w:rFonts w:ascii="Times New Roman" w:hAnsi="Times New Roman"/>
                <w:b w:val="0"/>
                <w:sz w:val="20"/>
              </w:rPr>
              <w:t>Slide 11 requires checking library books and the shared spreadsheets of past projects. Nobody has done this check yet. Do it, and be ready to name the difference.</w:t>
            </w:r>
          </w:p>
        </w:tc>
      </w:tr>
      <w:tr>
        <w:tc>
          <w:tcPr>
            <w:tcW w:type="dxa" w:w="3120"/>
          </w:tcPr>
          <w:p>
            <w:pPr>
              <w:spacing w:line="240" w:lineRule="auto" w:after="40"/>
            </w:pPr>
            <w:r>
              <w:rPr>
                <w:rFonts w:ascii="Times New Roman" w:hAnsi="Times New Roman"/>
                <w:b w:val="0"/>
                <w:sz w:val="20"/>
              </w:rPr>
            </w:r>
            <w:r>
              <w:rPr>
                <w:rFonts w:ascii="Times New Roman" w:hAnsi="Times New Roman"/>
                <w:b w:val="0"/>
                <w:sz w:val="20"/>
              </w:rPr>
              <w:t>Curriculum change breaks forecasting</w:t>
            </w:r>
          </w:p>
        </w:tc>
        <w:tc>
          <w:tcPr>
            <w:tcW w:type="dxa" w:w="3120"/>
          </w:tcPr>
          <w:p>
            <w:pPr>
              <w:spacing w:line="240" w:lineRule="auto" w:after="40"/>
            </w:pPr>
            <w:r>
              <w:rPr>
                <w:rFonts w:ascii="Times New Roman" w:hAnsi="Times New Roman"/>
                <w:b w:val="0"/>
                <w:sz w:val="20"/>
              </w:rPr>
            </w:r>
            <w:r>
              <w:rPr>
                <w:rFonts w:ascii="Times New Roman" w:hAnsi="Times New Roman"/>
                <w:b w:val="0"/>
                <w:sz w:val="20"/>
              </w:rPr>
              <w:t>Medium</w:t>
            </w:r>
          </w:p>
        </w:tc>
        <w:tc>
          <w:tcPr>
            <w:tcW w:type="dxa" w:w="3120"/>
          </w:tcPr>
          <w:p>
            <w:pPr>
              <w:spacing w:line="240" w:lineRule="auto" w:after="40"/>
            </w:pPr>
            <w:r>
              <w:rPr>
                <w:rFonts w:ascii="Times New Roman" w:hAnsi="Times New Roman"/>
                <w:b w:val="0"/>
                <w:sz w:val="20"/>
              </w:rPr>
            </w:r>
            <w:r>
              <w:rPr>
                <w:rFonts w:ascii="Times New Roman" w:hAnsi="Times New Roman"/>
                <w:b w:val="0"/>
                <w:sz w:val="20"/>
              </w:rPr>
              <w:t>Do not hide it. Make it an explicit input to the agent's reasoning and a discussion point in the report.</w:t>
            </w:r>
          </w:p>
        </w:tc>
      </w:tr>
    </w:tbl>
    <w:p/>
    <w:p>
      <w:pPr>
        <w:pStyle w:val="Heading2"/>
      </w:pPr>
      <w:r>
        <w:rPr>
          <w:rFonts w:ascii="Times New Roman" w:hAnsi="Times New Roman"/>
        </w:rPr>
        <w:t>12. Immediate actions</w:t>
      </w:r>
    </w:p>
    <w:p>
      <w:pPr>
        <w:pStyle w:val="ListNumber"/>
        <w:spacing w:line="360" w:lineRule="auto"/>
      </w:pPr>
      <w:r>
        <w:rPr>
          <w:rFonts w:ascii="Times New Roman" w:hAnsi="Times New Roman"/>
          <w:b/>
        </w:rPr>
        <w:t>Today.</w:t>
      </w:r>
      <w:r>
        <w:rPr>
          <w:rFonts w:ascii="Times New Roman" w:hAnsi="Times New Roman"/>
          <w:b w:val="0"/>
        </w:rPr>
        <w:t xml:space="preserve"> Rewrite the executive summary and problem statement in the shared Google Doc, removing inventory-management vocabulary in favour of procurement-decision vocabulary. Leave the title as submitted. Do this before Isaac's polish pass, so he works on the corrected version.</w:t>
      </w:r>
    </w:p>
    <w:p>
      <w:pPr>
        <w:pStyle w:val="ListNumber"/>
        <w:spacing w:line="360" w:lineRule="auto"/>
      </w:pPr>
      <w:r>
        <w:rPr>
          <w:rFonts w:ascii="Times New Roman" w:hAnsi="Times New Roman"/>
          <w:b/>
        </w:rPr>
        <w:t>Before Friday 18 September.</w:t>
      </w:r>
      <w:r>
        <w:rPr>
          <w:rFonts w:ascii="Times New Roman" w:hAnsi="Times New Roman"/>
          <w:b w:val="0"/>
        </w:rPr>
        <w:t xml:space="preserve"> Outreach to three publishers, with the outreach record kept as part of the data collection deliverable.</w:t>
      </w:r>
    </w:p>
    <w:p>
      <w:pPr>
        <w:pStyle w:val="ListNumber"/>
        <w:spacing w:line="360" w:lineRule="auto"/>
      </w:pPr>
      <w:r>
        <w:rPr>
          <w:rFonts w:ascii="Times New Roman" w:hAnsi="Times New Roman"/>
          <w:b/>
        </w:rPr>
        <w:t>This week.</w:t>
      </w:r>
      <w:r>
        <w:rPr>
          <w:rFonts w:ascii="Times New Roman" w:hAnsi="Times New Roman"/>
          <w:b w:val="0"/>
        </w:rPr>
        <w:t xml:space="preserve"> Check the college library and the shared past-project spreadsheets for prior inventory projects, and write down precisely how this project differs.</w:t>
      </w:r>
    </w:p>
    <w:p>
      <w:pPr>
        <w:pStyle w:val="ListNumber"/>
        <w:spacing w:line="360" w:lineRule="auto"/>
      </w:pPr>
      <w:r>
        <w:rPr>
          <w:rFonts w:ascii="Times New Roman" w:hAnsi="Times New Roman"/>
          <w:b/>
        </w:rPr>
        <w:t>Before the recording.</w:t>
      </w:r>
      <w:r>
        <w:rPr>
          <w:rFonts w:ascii="Times New Roman" w:hAnsi="Times New Roman"/>
          <w:b w:val="0"/>
        </w:rPr>
        <w:t xml:space="preserve"> Add the "Why this is not an inventory management system" slide to the presentation deck.</w:t>
      </w:r>
    </w:p>
    <w:p>
      <w:pPr>
        <w:pStyle w:val="Heading2"/>
      </w:pPr>
      <w:r>
        <w:rPr>
          <w:rFonts w:ascii="Times New Roman" w:hAnsi="Times New Roman"/>
        </w:rPr>
        <w:t>13. Course criteria, and how the repositioned project meets each</w:t>
      </w:r>
    </w:p>
    <w:p>
      <w:pPr>
        <w:spacing w:line="360" w:lineRule="auto"/>
        <w:jc w:val="both"/>
      </w:pPr>
      <w:r>
        <w:rPr>
          <w:rFonts w:ascii="Times New Roman" w:hAnsi="Times New Roman"/>
          <w:b w:val="0"/>
        </w:rPr>
        <w:t>Drawn from slide 9, "Qualities of a good ICT project".</w:t>
      </w:r>
    </w:p>
    <w:p>
      <w:pPr>
        <w:spacing w:after="40"/>
        <w:jc w:val="left"/>
      </w:pPr>
      <w:r>
        <w:rPr>
          <w:rFonts w:ascii="Times New Roman" w:hAnsi="Times New Roman"/>
          <w:b/>
          <w:sz w:val="22"/>
        </w:rPr>
        <w:t xml:space="preserve">Table 7: </w:t>
      </w:r>
      <w:r>
        <w:rPr>
          <w:rFonts w:ascii="Times New Roman" w:hAnsi="Times New Roman"/>
          <w:sz w:val="22"/>
        </w:rPr>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after="40"/>
            </w:pPr>
            <w:r>
              <w:rPr>
                <w:rFonts w:ascii="Times New Roman" w:hAnsi="Times New Roman"/>
                <w:b/>
                <w:sz w:val="20"/>
              </w:rPr>
            </w:r>
            <w:r>
              <w:rPr>
                <w:rFonts w:ascii="Times New Roman" w:hAnsi="Times New Roman"/>
                <w:b/>
                <w:sz w:val="20"/>
              </w:rPr>
              <w:t>Criterion</w:t>
            </w:r>
          </w:p>
        </w:tc>
        <w:tc>
          <w:tcPr>
            <w:tcW w:type="dxa" w:w="4680"/>
          </w:tcPr>
          <w:p>
            <w:pPr>
              <w:spacing w:line="240" w:lineRule="auto" w:after="40"/>
            </w:pPr>
            <w:r>
              <w:rPr>
                <w:rFonts w:ascii="Times New Roman" w:hAnsi="Times New Roman"/>
                <w:b/>
                <w:sz w:val="20"/>
              </w:rPr>
            </w:r>
            <w:r>
              <w:rPr>
                <w:rFonts w:ascii="Times New Roman" w:hAnsi="Times New Roman"/>
                <w:b/>
                <w:sz w:val="20"/>
              </w:rPr>
              <w:t>How the repositioned project satisfies it</w:t>
            </w:r>
          </w:p>
        </w:tc>
      </w:tr>
      <w:tr>
        <w:tc>
          <w:tcPr>
            <w:tcW w:type="dxa" w:w="4680"/>
          </w:tcPr>
          <w:p>
            <w:pPr>
              <w:spacing w:line="240" w:lineRule="auto" w:after="40"/>
            </w:pPr>
            <w:r>
              <w:rPr>
                <w:rFonts w:ascii="Times New Roman" w:hAnsi="Times New Roman"/>
                <w:b w:val="0"/>
                <w:sz w:val="20"/>
              </w:rPr>
            </w:r>
            <w:r>
              <w:rPr>
                <w:rFonts w:ascii="Times New Roman" w:hAnsi="Times New Roman"/>
                <w:b w:val="0"/>
                <w:sz w:val="20"/>
              </w:rPr>
              <w:t>Originality and innovation</w:t>
            </w:r>
          </w:p>
        </w:tc>
        <w:tc>
          <w:tcPr>
            <w:tcW w:type="dxa" w:w="4680"/>
          </w:tcPr>
          <w:p>
            <w:pPr>
              <w:spacing w:line="240" w:lineRule="auto" w:after="40"/>
            </w:pPr>
            <w:r>
              <w:rPr>
                <w:rFonts w:ascii="Times New Roman" w:hAnsi="Times New Roman"/>
                <w:b w:val="0"/>
                <w:sz w:val="20"/>
              </w:rPr>
            </w:r>
            <w:r>
              <w:rPr>
                <w:rFonts w:ascii="Times New Roman" w:hAnsi="Times New Roman"/>
                <w:b w:val="0"/>
                <w:sz w:val="20"/>
              </w:rPr>
              <w:t>Agentic, action-taking AI under human authorisation, as distinct from a single model that outputs a prediction and stops</w:t>
            </w:r>
          </w:p>
        </w:tc>
      </w:tr>
      <w:tr>
        <w:tc>
          <w:tcPr>
            <w:tcW w:type="dxa" w:w="4680"/>
          </w:tcPr>
          <w:p>
            <w:pPr>
              <w:spacing w:line="240" w:lineRule="auto" w:after="40"/>
            </w:pPr>
            <w:r>
              <w:rPr>
                <w:rFonts w:ascii="Times New Roman" w:hAnsi="Times New Roman"/>
                <w:b w:val="0"/>
                <w:sz w:val="20"/>
              </w:rPr>
            </w:r>
            <w:r>
              <w:rPr>
                <w:rFonts w:ascii="Times New Roman" w:hAnsi="Times New Roman"/>
                <w:b w:val="0"/>
                <w:sz w:val="20"/>
              </w:rPr>
              <w:t>Single product focus, as instructed</w:t>
            </w:r>
          </w:p>
        </w:tc>
        <w:tc>
          <w:tcPr>
            <w:tcW w:type="dxa" w:w="4680"/>
          </w:tcPr>
          <w:p>
            <w:pPr>
              <w:spacing w:line="240" w:lineRule="auto" w:after="40"/>
            </w:pPr>
            <w:r>
              <w:rPr>
                <w:rFonts w:ascii="Times New Roman" w:hAnsi="Times New Roman"/>
                <w:b w:val="0"/>
                <w:sz w:val="20"/>
              </w:rPr>
            </w:r>
            <w:r>
              <w:rPr>
                <w:rFonts w:ascii="Times New Roman" w:hAnsi="Times New Roman"/>
                <w:b w:val="0"/>
                <w:sz w:val="20"/>
              </w:rPr>
              <w:t>Textbooks and paper named as the validation product, with the engine itself kept domain-general</w:t>
            </w:r>
          </w:p>
        </w:tc>
      </w:tr>
      <w:tr>
        <w:tc>
          <w:tcPr>
            <w:tcW w:type="dxa" w:w="4680"/>
          </w:tcPr>
          <w:p>
            <w:pPr>
              <w:spacing w:line="240" w:lineRule="auto" w:after="40"/>
            </w:pPr>
            <w:r>
              <w:rPr>
                <w:rFonts w:ascii="Times New Roman" w:hAnsi="Times New Roman"/>
                <w:b w:val="0"/>
                <w:sz w:val="20"/>
              </w:rPr>
            </w:r>
            <w:r>
              <w:rPr>
                <w:rFonts w:ascii="Times New Roman" w:hAnsi="Times New Roman"/>
                <w:b w:val="0"/>
                <w:sz w:val="20"/>
              </w:rPr>
              <w:t>Extension of existing work</w:t>
            </w:r>
          </w:p>
        </w:tc>
        <w:tc>
          <w:tcPr>
            <w:tcW w:type="dxa" w:w="4680"/>
          </w:tcPr>
          <w:p>
            <w:pPr>
              <w:spacing w:line="240" w:lineRule="auto" w:after="40"/>
            </w:pPr>
            <w:r>
              <w:rPr>
                <w:rFonts w:ascii="Times New Roman" w:hAnsi="Times New Roman"/>
                <w:b w:val="0"/>
                <w:sz w:val="20"/>
              </w:rPr>
            </w:r>
            <w:r>
              <w:rPr>
                <w:rFonts w:ascii="Times New Roman" w:hAnsi="Times New Roman"/>
                <w:b w:val="0"/>
                <w:sz w:val="20"/>
              </w:rPr>
              <w:t>Builds on established inventory theory (reorder point, economic order quantity) and applies it to discrete print run commitment</w:t>
            </w:r>
          </w:p>
        </w:tc>
      </w:tr>
      <w:tr>
        <w:tc>
          <w:tcPr>
            <w:tcW w:type="dxa" w:w="4680"/>
          </w:tcPr>
          <w:p>
            <w:pPr>
              <w:spacing w:line="240" w:lineRule="auto" w:after="40"/>
            </w:pPr>
            <w:r>
              <w:rPr>
                <w:rFonts w:ascii="Times New Roman" w:hAnsi="Times New Roman"/>
                <w:b w:val="0"/>
                <w:sz w:val="20"/>
              </w:rPr>
            </w:r>
            <w:r>
              <w:rPr>
                <w:rFonts w:ascii="Times New Roman" w:hAnsi="Times New Roman"/>
                <w:b w:val="0"/>
                <w:sz w:val="20"/>
              </w:rPr>
              <w:t>Does not reinvent the wheel</w:t>
            </w:r>
          </w:p>
        </w:tc>
        <w:tc>
          <w:tcPr>
            <w:tcW w:type="dxa" w:w="4680"/>
          </w:tcPr>
          <w:p>
            <w:pPr>
              <w:spacing w:line="240" w:lineRule="auto" w:after="40"/>
            </w:pPr>
            <w:r>
              <w:rPr>
                <w:rFonts w:ascii="Times New Roman" w:hAnsi="Times New Roman"/>
                <w:b w:val="0"/>
                <w:sz w:val="20"/>
              </w:rPr>
            </w:r>
            <w:r>
              <w:rPr>
                <w:rFonts w:ascii="Times New Roman" w:hAnsi="Times New Roman"/>
                <w:b w:val="0"/>
                <w:sz w:val="20"/>
              </w:rPr>
              <w:t>Uses existing model and framework infrastructure rather than rebuilding it</w:t>
            </w:r>
          </w:p>
        </w:tc>
      </w:tr>
      <w:tr>
        <w:tc>
          <w:tcPr>
            <w:tcW w:type="dxa" w:w="4680"/>
          </w:tcPr>
          <w:p>
            <w:pPr>
              <w:spacing w:line="240" w:lineRule="auto" w:after="40"/>
            </w:pPr>
            <w:r>
              <w:rPr>
                <w:rFonts w:ascii="Times New Roman" w:hAnsi="Times New Roman"/>
                <w:b w:val="0"/>
                <w:sz w:val="20"/>
              </w:rPr>
            </w:r>
            <w:r>
              <w:rPr>
                <w:rFonts w:ascii="Times New Roman" w:hAnsi="Times New Roman"/>
                <w:b w:val="0"/>
                <w:sz w:val="20"/>
              </w:rPr>
              <w:t>Benefits communities</w:t>
            </w:r>
          </w:p>
        </w:tc>
        <w:tc>
          <w:tcPr>
            <w:tcW w:type="dxa" w:w="4680"/>
          </w:tcPr>
          <w:p>
            <w:pPr>
              <w:spacing w:line="240" w:lineRule="auto" w:after="40"/>
            </w:pPr>
            <w:r>
              <w:rPr>
                <w:rFonts w:ascii="Times New Roman" w:hAnsi="Times New Roman"/>
                <w:b w:val="0"/>
                <w:sz w:val="20"/>
              </w:rPr>
            </w:r>
            <w:r>
              <w:rPr>
                <w:rFonts w:ascii="Times New Roman" w:hAnsi="Times New Roman"/>
                <w:b w:val="0"/>
                <w:sz w:val="20"/>
              </w:rPr>
              <w:t>Protects publisher working capital, reduces paper waste, and protects access to textbooks within the term they are needed</w:t>
            </w:r>
          </w:p>
        </w:tc>
      </w:tr>
      <w:tr>
        <w:tc>
          <w:tcPr>
            <w:tcW w:type="dxa" w:w="4680"/>
          </w:tcPr>
          <w:p>
            <w:pPr>
              <w:spacing w:line="240" w:lineRule="auto" w:after="40"/>
            </w:pPr>
            <w:r>
              <w:rPr>
                <w:rFonts w:ascii="Times New Roman" w:hAnsi="Times New Roman"/>
                <w:b w:val="0"/>
                <w:sz w:val="20"/>
              </w:rPr>
            </w:r>
            <w:r>
              <w:rPr>
                <w:rFonts w:ascii="Times New Roman" w:hAnsi="Times New Roman"/>
                <w:b w:val="0"/>
                <w:sz w:val="20"/>
              </w:rPr>
              <w:t>Requirements from actual beneficiaries</w:t>
            </w:r>
          </w:p>
        </w:tc>
        <w:tc>
          <w:tcPr>
            <w:tcW w:type="dxa" w:w="4680"/>
          </w:tcPr>
          <w:p>
            <w:pPr>
              <w:spacing w:line="240" w:lineRule="auto" w:after="40"/>
            </w:pPr>
            <w:r>
              <w:rPr>
                <w:rFonts w:ascii="Times New Roman" w:hAnsi="Times New Roman"/>
                <w:b w:val="0"/>
                <w:sz w:val="20"/>
              </w:rPr>
            </w:r>
            <w:r>
              <w:rPr>
                <w:rFonts w:ascii="Times New Roman" w:hAnsi="Times New Roman"/>
                <w:b w:val="0"/>
                <w:sz w:val="20"/>
              </w:rPr>
              <w:t>Publisher outreach, with the data collection tool as the instrument</w:t>
            </w:r>
          </w:p>
        </w:tc>
      </w:tr>
      <w:tr>
        <w:tc>
          <w:tcPr>
            <w:tcW w:type="dxa" w:w="4680"/>
          </w:tcPr>
          <w:p>
            <w:pPr>
              <w:spacing w:line="240" w:lineRule="auto" w:after="40"/>
            </w:pPr>
            <w:r>
              <w:rPr>
                <w:rFonts w:ascii="Times New Roman" w:hAnsi="Times New Roman"/>
                <w:b w:val="0"/>
                <w:sz w:val="20"/>
              </w:rPr>
            </w:r>
            <w:r>
              <w:rPr>
                <w:rFonts w:ascii="Times New Roman" w:hAnsi="Times New Roman"/>
                <w:b w:val="0"/>
                <w:sz w:val="20"/>
              </w:rPr>
              <w:t>Problem supported by evidence</w:t>
            </w:r>
          </w:p>
        </w:tc>
        <w:tc>
          <w:tcPr>
            <w:tcW w:type="dxa" w:w="4680"/>
          </w:tcPr>
          <w:p>
            <w:pPr>
              <w:spacing w:line="240" w:lineRule="auto" w:after="40"/>
            </w:pPr>
            <w:r>
              <w:rPr>
                <w:rFonts w:ascii="Times New Roman" w:hAnsi="Times New Roman"/>
                <w:b w:val="0"/>
                <w:sz w:val="20"/>
              </w:rPr>
            </w:r>
            <w:r>
              <w:rPr>
                <w:rFonts w:ascii="Times New Roman" w:hAnsi="Times New Roman"/>
                <w:b w:val="0"/>
                <w:sz w:val="20"/>
              </w:rPr>
              <w:t>Publisher transactional data plus documented interviews</w:t>
            </w:r>
          </w:p>
        </w:tc>
      </w:tr>
      <w:tr>
        <w:tc>
          <w:tcPr>
            <w:tcW w:type="dxa" w:w="4680"/>
          </w:tcPr>
          <w:p>
            <w:pPr>
              <w:spacing w:line="240" w:lineRule="auto" w:after="40"/>
            </w:pPr>
            <w:r>
              <w:rPr>
                <w:rFonts w:ascii="Times New Roman" w:hAnsi="Times New Roman"/>
                <w:b w:val="0"/>
                <w:sz w:val="20"/>
              </w:rPr>
            </w:r>
            <w:r>
              <w:rPr>
                <w:rFonts w:ascii="Times New Roman" w:hAnsi="Times New Roman"/>
                <w:b w:val="0"/>
                <w:sz w:val="20"/>
              </w:rPr>
              <w:t>Within skill set, budget and time</w:t>
            </w:r>
          </w:p>
        </w:tc>
        <w:tc>
          <w:tcPr>
            <w:tcW w:type="dxa" w:w="4680"/>
          </w:tcPr>
          <w:p>
            <w:pPr>
              <w:spacing w:line="240" w:lineRule="auto" w:after="40"/>
            </w:pPr>
            <w:r>
              <w:rPr>
                <w:rFonts w:ascii="Times New Roman" w:hAnsi="Times New Roman"/>
                <w:b w:val="0"/>
                <w:sz w:val="20"/>
              </w:rPr>
            </w:r>
            <w:r>
              <w:rPr>
                <w:rFonts w:ascii="Times New Roman" w:hAnsi="Times New Roman"/>
                <w:b w:val="0"/>
                <w:sz w:val="20"/>
              </w:rPr>
              <w:t>Requirements and SRS this semester, build in BSE 4200</w:t>
            </w:r>
          </w:p>
        </w:tc>
      </w:tr>
      <w:tr>
        <w:tc>
          <w:tcPr>
            <w:tcW w:type="dxa" w:w="4680"/>
          </w:tcPr>
          <w:p>
            <w:pPr>
              <w:spacing w:line="240" w:lineRule="auto" w:after="40"/>
            </w:pPr>
            <w:r>
              <w:rPr>
                <w:rFonts w:ascii="Times New Roman" w:hAnsi="Times New Roman"/>
                <w:b w:val="0"/>
                <w:sz w:val="20"/>
              </w:rPr>
            </w:r>
            <w:r>
              <w:rPr>
                <w:rFonts w:ascii="Times New Roman" w:hAnsi="Times New Roman"/>
                <w:b w:val="0"/>
                <w:sz w:val="20"/>
              </w:rPr>
              <w:t>Tests acquired knowledge such as algorithms</w:t>
            </w:r>
          </w:p>
        </w:tc>
        <w:tc>
          <w:tcPr>
            <w:tcW w:type="dxa" w:w="4680"/>
          </w:tcPr>
          <w:p>
            <w:pPr>
              <w:spacing w:line="240" w:lineRule="auto" w:after="40"/>
            </w:pPr>
            <w:r>
              <w:rPr>
                <w:rFonts w:ascii="Times New Roman" w:hAnsi="Times New Roman"/>
                <w:b w:val="0"/>
                <w:sz w:val="20"/>
              </w:rPr>
            </w:r>
            <w:r>
              <w:rPr>
                <w:rFonts w:ascii="Times New Roman" w:hAnsi="Times New Roman"/>
                <w:b w:val="0"/>
                <w:sz w:val="20"/>
              </w:rPr>
              <w:t>Forecasting, reorder point, safety stock, and order quantity optimisation are implemented by the team</w:t>
            </w:r>
          </w:p>
        </w:tc>
      </w:tr>
      <w:tr>
        <w:tc>
          <w:tcPr>
            <w:tcW w:type="dxa" w:w="4680"/>
          </w:tcPr>
          <w:p>
            <w:pPr>
              <w:spacing w:line="240" w:lineRule="auto" w:after="40"/>
            </w:pPr>
            <w:r>
              <w:rPr>
                <w:rFonts w:ascii="Times New Roman" w:hAnsi="Times New Roman"/>
                <w:b w:val="0"/>
                <w:sz w:val="20"/>
              </w:rPr>
            </w:r>
            <w:r>
              <w:rPr>
                <w:rFonts w:ascii="Times New Roman" w:hAnsi="Times New Roman"/>
                <w:b w:val="0"/>
                <w:sz w:val="20"/>
              </w:rPr>
              <w:t>Produces an artifact</w:t>
            </w:r>
          </w:p>
        </w:tc>
        <w:tc>
          <w:tcPr>
            <w:tcW w:type="dxa" w:w="4680"/>
          </w:tcPr>
          <w:p>
            <w:pPr>
              <w:spacing w:line="240" w:lineRule="auto" w:after="40"/>
            </w:pPr>
            <w:r>
              <w:rPr>
                <w:rFonts w:ascii="Times New Roman" w:hAnsi="Times New Roman"/>
                <w:b w:val="0"/>
                <w:sz w:val="20"/>
              </w:rPr>
            </w:r>
            <w:r>
              <w:rPr>
                <w:rFonts w:ascii="Times New Roman" w:hAnsi="Times New Roman"/>
                <w:b w:val="0"/>
                <w:sz w:val="20"/>
              </w:rPr>
              <w:t>Software agent plus review dashboard</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b/>
      <w:bCs/>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b/>
      <w:bCs/>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b/>
      <w:bCs/>
      <w:sz w:val="26"/>
    </w:rPr>
  </w:style>
  <w:style w:type="paragraph" w:styleId="Heading4">
    <w:name w:val="heading 4"/>
    <w:basedOn w:val="Normal"/>
    <w:next w:val="Normal"/>
    <w:link w:val="Heading4Char"/>
    <w:uiPriority w:val="9"/>
    <w:semiHidden/>
    <w:unhideWhenUsed/>
    <w:qFormat/>
    <w:rsid w:val="00FC693F"/>
    <w:pPr>
      <w:keepNext/>
      <w:keepLines/>
      <w:spacing w:before="240" w:after="120" w:line="360" w:lineRule="auto"/>
      <w:outlineLvl w:val="3"/>
    </w:pPr>
    <w:rPr>
      <w:rFonts w:asciiTheme="majorHAnsi" w:eastAsiaTheme="majorEastAsia" w:hAnsiTheme="majorHAnsi" w:cstheme="majorBidi" w:ascii="Times New Roman" w:hAnsi="Times New Roman"/>
      <w:b/>
      <w:bCs/>
      <w:i/>
      <w:iCs/>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