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30"/>
        </w:rPr>
        <w:t>RESULTADOS DEL UNIT COMMITMENT — SISTEMA IEEE 24 BARRAS</w:t>
        <w:br/>
        <w:t>Tablas y figuras generadas desde los resultados del modelo</w:t>
      </w:r>
    </w:p>
    <w:p/>
    <w:p>
      <w:pPr>
        <w:pStyle w:val="Heading1"/>
      </w:pPr>
      <w:r>
        <w:rPr>
          <w:color w:val="1F3B57"/>
        </w:rPr>
        <w:t>Unit Commitment tradicional (sistema IEEE 24 barras)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Hora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G2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G3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G4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G5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G6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G7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G8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G9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G10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G11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G12</w:t>
            </w:r>
          </w:p>
        </w:tc>
        <w:tc>
          <w:tcPr>
            <w:tcW w:type="dxa" w:w="617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Capacidad Comprometida Total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1915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1915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1915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1915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1915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6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1915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7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2070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8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2374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9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10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11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12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13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14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15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16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17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18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19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20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21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2724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22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2222</w:t>
            </w:r>
          </w:p>
        </w:tc>
      </w:tr>
      <w:tr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</w:tcPr>
          <w:p>
            <w:pPr>
              <w:jc w:val="center"/>
            </w:pPr>
            <w:r/>
            <w:r>
              <w:rPr>
                <w:sz w:val="14"/>
              </w:rPr>
              <w:t>2070</w:t>
            </w:r>
          </w:p>
        </w:tc>
      </w:tr>
      <w:tr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617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1720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17. Resultados de UC del sistema IEEE 24 Barras tradicional.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53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ic_despach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13. Despacho térmico horario en el problema de UC de manera tradicional.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Línea más cargada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Flujo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Límite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Carga (%)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-378.1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75.6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-388.8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77.8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-398.4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79.7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-399.4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79.9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-399.4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79.9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-396.8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79.3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-393.1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78.6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-383.4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76.7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-355.1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-355.1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71.0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-364.5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-364.5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-345.8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69.2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-342.7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68.5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-342.7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68.5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-355.1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-369.6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73.9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-389.7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77.9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-391.2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78.2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-413.9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82.8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18. Flujos máximos de hora — sistema tradicional.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 (USD)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% del total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Cgen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variable de generación térmica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423,951.22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97.66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Cfijo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Costo fijo de unidades comprometidas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2,013.00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0.46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Carr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de arranque de unidades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8,131.80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1.87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Cvert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Penalización por vertimiento eólico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N/A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CSOC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Penalización por SOC bajo del BESS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Operación y degradación del 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N/A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Costo total de operación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434,096.02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100.00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19. Desglose de función objetivo — sistema tradicional.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continuas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864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Variables binarias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576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totales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1,440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Restricciones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3,096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Estado de la solución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OPTIMAL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Brecha de optimalidad (gap)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0.0020 %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Valor objetivo óptimo (USD)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434,096.02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20. Dimensión del modelo y estado de solución — sistema tradicional.</w:t>
      </w:r>
    </w:p>
    <w:p>
      <w:r>
        <w:br w:type="page"/>
      </w:r>
    </w:p>
    <w:p>
      <w:pPr>
        <w:pStyle w:val="Heading1"/>
      </w:pPr>
      <w:r>
        <w:rPr>
          <w:color w:val="1F3B57"/>
        </w:rPr>
        <w:t>UC considerando variabilidad de generación eólica pronosticada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Hora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G2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G3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G4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G5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G6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G7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G8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G9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G10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G11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G12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Eólico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Capacidad Comprometida Total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1,945.0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1,945.0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1,945.0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1,945.0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1,945.0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6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1,945.0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7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28.3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2,098.3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8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29.6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2,403.6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9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18.7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2,742.7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2,754.0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11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28.8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2,752.8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12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11.1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2,735.1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14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2,725.0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15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1.9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2,725.9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16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2.7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2,726.7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17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4.4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2,728.4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18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3.8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2,727.8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19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1.3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2,725.3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1.3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2,725.3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21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10.9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2,734.9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22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6.6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2,228.6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1.6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2,071.6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2.4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1,722.4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21. Resultados de UC considerando variabilidad de generación eólica pronosticada.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530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lico_despach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14. Despacho térmico y de energía eólica por horario considerando generación eólica pronosticada.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Disponible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Utilizada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Vertimiento (MW)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29.6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29.6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18.7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18.7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11.1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11.1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22. Generación eólica disponible, utilizada y vertimiento — con generación eólica pronosticada.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06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lico_eoli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15. Energía eólica disponible frente a la utilizada — con generación eólica pronosticada.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Línea más cargada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Flujo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Límite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Carga (%)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-379.3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75.9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-391.0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78.2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-398.0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79.6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-402.3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80.5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-400.6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80.1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-399.6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79.9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-388.7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77.8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-383.1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76.6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-358.9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71.8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-356.2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-356.1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-364.6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-364.6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-345.9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69.2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-342.8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68.6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-342.7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68.5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-355.2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-369.6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73.9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-390.2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78.0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-391.0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78.2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-414.0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82.8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23. Flujos máximos de hora — considerando generación eólica pronosticada.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 (USD)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% del total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Cgen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variable de generación térmica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418,889.67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97.64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Cfijo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Costo fijo de unidades comprometidas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2,013.00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0.47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Carr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de arranque de unidades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8,131.80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1.90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Cvert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Penalización por vertimiento eólico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CSOC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Penalización por SOC bajo del BESS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Operación y degradación del 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N/A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Costo total de operación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429,034.47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100.00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24. Desglose de función objetivo — considerando generación eólica pronosticada.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continuas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888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Variables binarias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576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totales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1,464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Restricciones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3,096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Estado de la solución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OPTIMAL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Brecha de optimalidad (gap)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0.0004 %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Valor objetivo óptimo (USD)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429,034.47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25. Dimensión del modelo y estado de solución — considerando generación eólica pronosticada.</w:t>
      </w:r>
    </w:p>
    <w:p>
      <w:r>
        <w:br w:type="page"/>
      </w:r>
    </w:p>
    <w:p>
      <w:pPr>
        <w:pStyle w:val="Heading1"/>
      </w:pPr>
      <w:r>
        <w:rPr>
          <w:color w:val="1F3B57"/>
        </w:rPr>
        <w:t>UC considerando recursos de flexibilidad (BESS)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Hora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G2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G3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G4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G5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G6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G7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G8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G9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G10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G11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G12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BESS</w:t>
            </w:r>
          </w:p>
        </w:tc>
        <w:tc>
          <w:tcPr>
            <w:tcW w:type="dxa" w:w="576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Capacidad Comprometida Total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1,915.0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1,915.0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1,915.0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-20.0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1,895.0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1,915.0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6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-1.1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1,913.9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7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2,070.0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8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2,374.0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9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2,744.0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11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12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14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17.0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2,741.0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15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16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17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18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19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-0.0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2,744.0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21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22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2,222.0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-12.1</w:t>
            </w:r>
          </w:p>
        </w:tc>
        <w:tc>
          <w:tcPr>
            <w:tcW w:type="dxa" w:w="576"/>
          </w:tcPr>
          <w:p>
            <w:pPr>
              <w:jc w:val="center"/>
            </w:pPr>
            <w:r/>
            <w:r>
              <w:rPr>
                <w:sz w:val="14"/>
              </w:rPr>
              <w:t>2,057.9</w:t>
            </w:r>
          </w:p>
        </w:tc>
      </w:tr>
      <w:tr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-30.0</w:t>
            </w:r>
          </w:p>
        </w:tc>
        <w:tc>
          <w:tcPr>
            <w:tcW w:type="dxa" w:w="576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1,690.0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26. Resultados de UC del sistema IEEE 24 Barras considerando recursos flexibles.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53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SS_despach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16. Despacho térmico y BESS por horario considerando almacenamiento de energía.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Carga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Descarga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SOC (%)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80.0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80.0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99.0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99.0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1.1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78.9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78.9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78.9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78.9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78.9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17.0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61.1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61.1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61.1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61.1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61.1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-0.0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61.1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40.0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12.1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51.5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80.0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27. Operación del BESS: carga, descarga y SOC — considerando recursos flexibles.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61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SS_b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1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17. Potencia de carga (–) y descarga (+) del BESS y evolución del SOC — con almacenamiento.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Línea más cargada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Flujo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Límite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Carga (%)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-405.8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81.2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-410.7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82.1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-408.1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81.6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-426.3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85.3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-410.7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82.2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-424.4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84.9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-393.1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78.6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-383.4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76.7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-359.0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71.8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-355.1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-355.1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71.0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-358.9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-364.5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-364.5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-345.8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69.2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-342.7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68.5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-342.7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68.5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-355.9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-369.5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73.9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-390.2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78.0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-393.1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78.6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-409.4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81.9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28. Flujos máximos de hora — considerando recursos flexibles.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 (USD)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% del total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Cgen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variable de generación térmica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423,440.22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97.57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Cfijo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Costo fijo de unidades comprometidas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2,013.00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0.46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Carr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de arranque de unidades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8,131.80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1.87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Cvert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Penalización por vertimiento eólico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N/A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CSOC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Penalización por SOC bajo del BESS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Operación y degradación del 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388.97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0.09</w:t>
            </w:r>
          </w:p>
        </w:tc>
      </w:tr>
      <w:tr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Costo total de operación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433,973.99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100.00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29. Desglose de función objetivo — considerando recursos flexibles.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continuas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960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Variables binarias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600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totales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1,560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Restricciones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3,285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Estado de la solución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OPTIMAL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Brecha de optimalidad (gap)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0.0020 %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Valor objetivo óptimo (USD)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433,973.99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30. Dimensión del modelo y estado de solución — considerando recursos flexibles.</w:t>
      </w:r>
    </w:p>
    <w:p>
      <w:r>
        <w:br w:type="page"/>
      </w:r>
    </w:p>
    <w:p>
      <w:pPr>
        <w:pStyle w:val="Heading1"/>
      </w:pPr>
      <w:r>
        <w:rPr>
          <w:color w:val="1F3B57"/>
        </w:rPr>
        <w:t>UC considerando generación eólica pronosticada y recursos de flexibilidad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Hora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G2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G3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G4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G5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G6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G7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G8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G9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G10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G11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G12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BESS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Eólico</w:t>
            </w:r>
          </w:p>
        </w:tc>
        <w:tc>
          <w:tcPr>
            <w:tcW w:type="dxa" w:w="54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4"/>
              </w:rPr>
              <w:t>Capacidad Comprometida Total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25.8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1,775.8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5.8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1,755.8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-16.1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1,733.9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1,750.0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-20.0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1,730.0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6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-20.0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1,730.0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7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28.3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2,098.3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8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29.6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2,403.6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9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-0.0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18.7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2,742.7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2,754.0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11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28.8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2,752.8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12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-0.0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11.1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2,735.1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13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2,724.0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14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2,725.0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15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1.9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2,725.9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16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2.7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2,726.7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17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3.0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4.4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2,731.4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18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3.8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2,727.8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19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0.0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1.3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2,725.3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1.3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2,745.3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21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27.0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10.9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2,412.0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22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7.0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6.6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2,235.6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23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-12.1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1.6</w:t>
            </w:r>
          </w:p>
        </w:tc>
        <w:tc>
          <w:tcPr>
            <w:tcW w:type="dxa" w:w="540"/>
          </w:tcPr>
          <w:p>
            <w:pPr>
              <w:jc w:val="center"/>
            </w:pPr>
            <w:r/>
            <w:r>
              <w:rPr>
                <w:sz w:val="14"/>
              </w:rPr>
              <w:t>2,059.5</w:t>
            </w:r>
          </w:p>
        </w:tc>
      </w:tr>
      <w:tr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24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X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-30.0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2.4</w:t>
            </w:r>
          </w:p>
        </w:tc>
        <w:tc>
          <w:tcPr>
            <w:tcW w:type="dxa" w:w="540"/>
            <w:shd w:val="clear" w:fill="F2F6FA"/>
          </w:tcPr>
          <w:p>
            <w:pPr>
              <w:jc w:val="center"/>
            </w:pPr>
            <w:r/>
            <w:r>
              <w:rPr>
                <w:sz w:val="14"/>
              </w:rPr>
              <w:t>1,692.4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31. Resultados de UC considerando variabilidad de generación eólica pronosticada y recursos flexibles.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53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despach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5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18. Despacho térmico, energía eólica y BESS por horario considerando generación eólica y almacenamiento.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Disponible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Utilizada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Vertimiento (MW)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29.6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29.6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18.7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18.7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28.8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11.1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11.1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10.9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6.6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1.6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32. Generación eólica disponible, utilizada y vertimiento — con eólica y recursos flexibles.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062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lico_eoli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19. Energía eólica disponible frente a la utilizada — con eólica y recursos flexibles.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Carga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Descarga (MW)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SOC (%)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25.8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52.8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5.8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46.7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16.1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62.0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62.0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81.0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-0.0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-0.0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3.0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96.9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96.9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96.9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75.8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27.0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47.4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40.0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12.1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6"/>
              </w:rPr>
              <w:t>51.5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0.0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80.0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33. Operación del BESS: carga, descarga y SOC — con eólica y recursos flexibles.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61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b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1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20. Potencia de carga (–) y descarga (+) del BESS y evolución del SOC — con eólica y recursos flexibles.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Hora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Línea más cargada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Flujo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Límite (MW)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Carga (%)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-405.5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81.1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-415.3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83.1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-406.8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81.4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-410.8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82.2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-409.7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81.9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-422.3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84.5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-388.7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77.8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-383.5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76.7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-358.9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71.8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-356.2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-356.1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-358.3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-364.6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-364.6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72.9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-346.0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69.2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-342.8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68.6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-342.7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68.5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-355.9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71.2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8-9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-136.0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77.7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-389.8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78.0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14-16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-392.8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6"/>
              </w:rPr>
              <w:t>78.6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16-17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-412.8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6"/>
              </w:rPr>
              <w:t>82.6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34. Flujos máximos de hora — con eólica y recursos flexibles.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Valor (USD)</w:t>
            </w:r>
          </w:p>
        </w:tc>
        <w:tc>
          <w:tcPr>
            <w:tcW w:type="dxa" w:w="216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% del total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Cgen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variable de generación térmica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417,786.47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97.49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Cfijo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Costo fijo de unidades comprometidas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2,003.00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0.47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Carr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Costo de arranque de unidades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8,131.80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1.90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Cvert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Penalización por vertimiento eólico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CSOC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Penalización por SOC bajo del BESS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7"/>
              </w:rPr>
              <w:t>0.00</w:t>
            </w:r>
          </w:p>
        </w:tc>
      </w:tr>
      <w:tr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CBESS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Operación y degradación del BESS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605.09</w:t>
            </w:r>
          </w:p>
        </w:tc>
        <w:tc>
          <w:tcPr>
            <w:tcW w:type="dxa" w:w="2160"/>
            <w:shd w:val="clear" w:fill="F2F6FA"/>
          </w:tcPr>
          <w:p>
            <w:pPr>
              <w:jc w:val="center"/>
            </w:pPr>
            <w:r/>
            <w:r>
              <w:rPr>
                <w:sz w:val="17"/>
              </w:rPr>
              <w:t>0.14</w:t>
            </w:r>
          </w:p>
        </w:tc>
      </w:tr>
      <w:tr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Total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Costo total de operación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428,526.36</w:t>
            </w:r>
          </w:p>
        </w:tc>
        <w:tc>
          <w:tcPr>
            <w:tcW w:type="dxa" w:w="216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7"/>
              </w:rPr>
              <w:t>100.00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35. Desglose de función objetivo — con eólica y recursos flexibles.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432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continuas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984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Variables binarias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600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Variables totales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1,584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Restricciones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3,285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Estado de la solución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OPTIMAL</w:t>
            </w:r>
          </w:p>
        </w:tc>
      </w:tr>
      <w:tr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Brecha de optimalidad (gap)</w:t>
            </w:r>
          </w:p>
        </w:tc>
        <w:tc>
          <w:tcPr>
            <w:tcW w:type="dxa" w:w="432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0.0000 %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Valor objetivo óptimo (USD)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sz w:val="19"/>
              </w:rPr>
              <w:t>428,526.36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36. Dimensión del modelo y estado de solución — con eólica y recursos flexibles.</w:t>
      </w:r>
    </w:p>
    <w:p>
      <w:r>
        <w:br w:type="page"/>
      </w:r>
    </w:p>
    <w:p>
      <w:pPr>
        <w:pStyle w:val="Heading1"/>
      </w:pPr>
      <w:r>
        <w:rPr>
          <w:color w:val="1F3B57"/>
        </w:rPr>
        <w:t>Ubicación óptima y comparación de escenarios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Nodo BESS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Nodo Eólico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Costo total ($)</w:t>
            </w:r>
          </w:p>
        </w:tc>
        <w:tc>
          <w:tcPr>
            <w:tcW w:type="dxa" w:w="1728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Sobrecosto vs. óptimo (%)</w:t>
            </w:r>
          </w:p>
        </w:tc>
      </w:tr>
      <w:tr>
        <w:tc>
          <w:tcPr>
            <w:tcW w:type="dxa" w:w="1728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728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728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1728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8"/>
              </w:rPr>
              <w:t>428,526.36</w:t>
            </w:r>
          </w:p>
        </w:tc>
        <w:tc>
          <w:tcPr>
            <w:tcW w:type="dxa" w:w="1728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8"/>
              </w:rPr>
              <w:t>0.000 %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  <w:tr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428,526.36</w:t>
            </w:r>
          </w:p>
        </w:tc>
        <w:tc>
          <w:tcPr>
            <w:tcW w:type="dxa" w:w="1728"/>
            <w:shd w:val="clear" w:fill="F2F6FA"/>
          </w:tcPr>
          <w:p>
            <w:pPr>
              <w:jc w:val="center"/>
            </w:pPr>
            <w:r/>
            <w:r>
              <w:rPr>
                <w:sz w:val="18"/>
              </w:rPr>
              <w:t>0.000 %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37. Diez configuraciones de ubicación del BESS y del parque eólico con el menor costo total de operación.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34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ubicacio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3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21. Mejores configuraciones de posicionamiento del BESS y la generación eólica.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28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_comparat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2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22. Comparación entre los escenarios y su costo total en la función objetivo.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288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Costo Total ($)</w:t>
            </w:r>
          </w:p>
        </w:tc>
        <w:tc>
          <w:tcPr>
            <w:tcW w:type="dxa" w:w="2880"/>
            <w:shd w:val="clear" w:fill="1F3B57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Ahorro (%)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9"/>
              </w:rPr>
              <w:t>Tradicional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9"/>
              </w:rPr>
              <w:t>434,096.02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9"/>
              </w:rPr>
              <w:t>----</w:t>
            </w:r>
          </w:p>
        </w:tc>
      </w:tr>
      <w:tr>
        <w:tc>
          <w:tcPr>
            <w:tcW w:type="dxa" w:w="288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Tradicional + BESS</w:t>
            </w:r>
          </w:p>
        </w:tc>
        <w:tc>
          <w:tcPr>
            <w:tcW w:type="dxa" w:w="288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433,973.99</w:t>
            </w:r>
          </w:p>
        </w:tc>
        <w:tc>
          <w:tcPr>
            <w:tcW w:type="dxa" w:w="2880"/>
            <w:shd w:val="clear" w:fill="F2F6FA"/>
          </w:tcPr>
          <w:p>
            <w:pPr>
              <w:jc w:val="center"/>
            </w:pPr>
            <w:r/>
            <w:r>
              <w:rPr>
                <w:sz w:val="19"/>
              </w:rPr>
              <w:t>0.03 %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9"/>
              </w:rPr>
              <w:t>Tradicional + Eólico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9"/>
              </w:rPr>
              <w:t>429,034.47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9"/>
              </w:rPr>
              <w:t>1.17 %</w:t>
            </w:r>
          </w:p>
        </w:tc>
      </w:tr>
      <w:tr>
        <w:tc>
          <w:tcPr>
            <w:tcW w:type="dxa" w:w="288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9"/>
              </w:rPr>
              <w:t>Tradicional + BESS + Eólico</w:t>
            </w:r>
          </w:p>
        </w:tc>
        <w:tc>
          <w:tcPr>
            <w:tcW w:type="dxa" w:w="288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9"/>
              </w:rPr>
              <w:t>428,526.36</w:t>
            </w:r>
          </w:p>
        </w:tc>
        <w:tc>
          <w:tcPr>
            <w:tcW w:type="dxa" w:w="2880"/>
            <w:shd w:val="clear" w:fill="D9E8F5"/>
          </w:tcPr>
          <w:p>
            <w:pPr>
              <w:jc w:val="center"/>
            </w:pPr>
            <w:r/>
            <w:r>
              <w:rPr>
                <w:b/>
                <w:sz w:val="19"/>
              </w:rPr>
              <w:t>1.28 %</w:t>
            </w:r>
          </w:p>
        </w:tc>
      </w:tr>
    </w:tbl>
    <w:p>
      <w:pPr>
        <w:jc w:val="center"/>
      </w:pPr>
      <w:r>
        <w:rPr>
          <w:i/>
          <w:color w:val="555555"/>
          <w:sz w:val="18"/>
        </w:rPr>
        <w:t>Tabla 38. Ahorro porcentual por escenario respecto del caso tradicional.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