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Code of Conduct &amp; Disciplinary Policy</w:t>
      </w:r>
    </w:p>
    <w:p>
      <w:r>
        <w:rPr>
          <w:b/>
          <w:color w:val="335577"/>
        </w:rPr>
        <w:t>Meridian Grid Technologies Ltd  |  People &amp; Culture Function</w:t>
      </w:r>
    </w:p>
    <w:p>
      <w:r>
        <w:t>Document ID: MGT-HR-009.  Version: 2.2.  Effective date: 1 April 2025.</w:t>
      </w:r>
    </w:p>
    <w:p>
      <w:r>
        <w:t>Policy owner: Head of Employee Relations.  Approved by: Chief People Officer.  Review cycle: Annual.</w:t>
      </w:r>
    </w:p>
    <w:p>
      <w:r>
        <w:t>Classification: Internal Use Only.</w:t>
      </w:r>
    </w:p>
    <w:p>
      <w:pPr>
        <w:pStyle w:val="Heading2"/>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Summary of changes</w:t>
            </w:r>
          </w:p>
        </w:tc>
      </w:tr>
      <w:tr>
        <w:tc>
          <w:tcPr>
            <w:tcW w:type="dxa" w:w="2160"/>
          </w:tcPr>
          <w:p>
            <w:r>
              <w:t>2.0</w:t>
            </w:r>
          </w:p>
        </w:tc>
        <w:tc>
          <w:tcPr>
            <w:tcW w:type="dxa" w:w="2160"/>
          </w:tcPr>
          <w:p>
            <w:r>
              <w:t>01 Apr 2023</w:t>
            </w:r>
          </w:p>
        </w:tc>
        <w:tc>
          <w:tcPr>
            <w:tcW w:type="dxa" w:w="2160"/>
          </w:tcPr>
          <w:p>
            <w:r>
              <w:t>Employee Relations</w:t>
            </w:r>
          </w:p>
        </w:tc>
        <w:tc>
          <w:tcPr>
            <w:tcW w:type="dxa" w:w="2160"/>
          </w:tcPr>
          <w:p>
            <w:r>
              <w:t>Merged conduct and disciplinary procedures</w:t>
            </w:r>
          </w:p>
        </w:tc>
      </w:tr>
      <w:tr>
        <w:tc>
          <w:tcPr>
            <w:tcW w:type="dxa" w:w="2160"/>
          </w:tcPr>
          <w:p>
            <w:r>
              <w:t>2.2</w:t>
            </w:r>
          </w:p>
        </w:tc>
        <w:tc>
          <w:tcPr>
            <w:tcW w:type="dxa" w:w="2160"/>
          </w:tcPr>
          <w:p>
            <w:r>
              <w:t>01 Apr 2025</w:t>
            </w:r>
          </w:p>
        </w:tc>
        <w:tc>
          <w:tcPr>
            <w:tcW w:type="dxa" w:w="2160"/>
          </w:tcPr>
          <w:p>
            <w:r>
              <w:t>Employee Relations</w:t>
            </w:r>
          </w:p>
        </w:tc>
        <w:tc>
          <w:tcPr>
            <w:tcW w:type="dxa" w:w="2160"/>
          </w:tcPr>
          <w:p>
            <w:r>
              <w:t>Updated gift threshold and device rules</w:t>
            </w:r>
          </w:p>
        </w:tc>
      </w:tr>
    </w:tbl>
    <w:p>
      <w:pPr>
        <w:pStyle w:val="Heading2"/>
      </w:pPr>
      <w:r>
        <w:t>1. Purpose</w:t>
      </w:r>
    </w:p>
    <w:p>
      <w:r>
        <w:t>This policy sets the standards of behaviour expected of everyone at Meridian Grid Technologies and the procedures used to address conduct that falls below those standards. It applies to all employees, contractors and agency workers.</w:t>
      </w:r>
    </w:p>
    <w:p>
      <w:pPr>
        <w:pStyle w:val="Heading2"/>
      </w:pPr>
      <w:r>
        <w:t>2. Standards of Conduct</w:t>
      </w:r>
    </w:p>
    <w:p>
      <w:r>
        <w:t>Employees must act with integrity, treat colleagues and customers with respect, comply with the law and follow company policies. Harassment, bullying and discrimination will not be tolerated. Employees must protect confidential information at all times.</w:t>
      </w:r>
    </w:p>
    <w:p>
      <w:pPr>
        <w:pStyle w:val="Heading2"/>
      </w:pPr>
      <w:r>
        <w:t>3. Gifts and Hospitality</w:t>
      </w:r>
    </w:p>
    <w:p>
      <w:r>
        <w:t>Employees must not solicit gifts. Any gift or hospitality with a value over GBP 50 must be declined or, where declining would cause offence, declared in the gifts and hospitality register and referred to a manager. Cash or cash-equivalent gifts must never be accepted, regardless of value.</w:t>
      </w:r>
    </w:p>
    <w:p>
      <w:pPr>
        <w:pStyle w:val="Heading2"/>
      </w:pPr>
      <w:r>
        <w:t>4. Conflicts of Interest</w:t>
      </w:r>
    </w:p>
    <w:p>
      <w:r>
        <w:t>Employees must declare any personal, financial or family interest that could conflict with the interests of the company, including secondary employment and close relationships with suppliers. Declarations are recorded in the conflicts register.</w:t>
      </w:r>
    </w:p>
    <w:p>
      <w:pPr>
        <w:pStyle w:val="Heading2"/>
      </w:pPr>
      <w:r>
        <w:t>5. Use of Personal Devices</w:t>
      </w:r>
    </w:p>
    <w:p>
      <w:r>
        <w:t>The use of personal mobile devices to access corporate email is prohibited at all times. Company information must only be accessed on company-issued and company-managed equipment. Any exception must be authorised in writing by the Head of Employee Relations. This restriction protects confidential and Restricted information.</w:t>
      </w:r>
    </w:p>
    <w:p>
      <w:pPr>
        <w:pStyle w:val="Heading2"/>
      </w:pPr>
      <w:r>
        <w:t>6. Disciplinary Procedure</w:t>
      </w:r>
    </w:p>
    <w:p>
      <w:r>
        <w:t>The disciplinary procedure follows progressive stages: an informal discussion where appropriate, followed by a formal first written warning, a final written warning, and dismissal. A first written warning normally remains live for 6 months and a final written warning for 12 months. Employees have the right to be accompanied at formal meetings and the right to appeal any disciplinary decision.</w:t>
      </w:r>
    </w:p>
    <w:p>
      <w:r>
        <w:t>Gross misconduct — including theft, fraud, violence, serious breaches of health and safety, and serious breaches of information security — may result in summary dismissal without notice following investigation.</w:t>
      </w:r>
    </w:p>
    <w:p>
      <w:pPr>
        <w:pStyle w:val="Heading2"/>
      </w:pPr>
      <w:r>
        <w:t>7. Notice Periods</w:t>
      </w:r>
    </w:p>
    <w:p>
      <w:r>
        <w:t>On resignation after probation, employees are required to give 1 month of written notice, and employees at senior manager level and above are required to give 3 months of written notice. These notice periods align with the Compensation &amp; Benefits Policy (MGT-HR-004).</w:t>
      </w:r>
    </w:p>
    <w:p>
      <w:pPr>
        <w:pStyle w:val="Heading2"/>
      </w:pPr>
      <w:r>
        <w:t>8. Grievance Procedure</w:t>
      </w:r>
    </w:p>
    <w:p>
      <w:r>
        <w:t>An employee who wishes to raise a grievance should first raise it informally with their line manager. If unresolved, a formal written grievance may be submitted to People &amp; Culture, who will arrange a grievance meeting, normally within 10 working days. The employee has the right to be accompanied and the right to appeal the outcome.</w:t>
      </w:r>
    </w:p>
    <w:p>
      <w:pPr>
        <w:pStyle w:val="Heading2"/>
      </w:pPr>
      <w:r>
        <w:t>9. Whistleblowing</w:t>
      </w:r>
    </w:p>
    <w:p>
      <w:r>
        <w:t>Employees are encouraged to report suspected wrongdoing, such as fraud, safety failures or breaches of the law, through the confidential whistleblowing channel. Whistleblowers are protected from detriment for raising genuine concerns in good faith.</w:t>
      </w:r>
    </w:p>
    <w:p>
      <w:pPr>
        <w:pStyle w:val="Heading2"/>
      </w:pPr>
      <w:r>
        <w:t>10. Related Policies</w:t>
      </w:r>
    </w:p>
    <w:p>
      <w:r>
        <w:t>See the Employee Handbook (MGT-HR-001), the IT &amp; Acceptable Use Policy (MGT-HR-007) and the Compensation &amp; Benefits Policy (MGT-HR-004).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