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Compensation &amp; Benefits Policy</w:t>
      </w:r>
    </w:p>
    <w:p>
      <w:r>
        <w:rPr>
          <w:b/>
          <w:color w:val="335577"/>
        </w:rPr>
        <w:t>Meridian Grid Technologies Ltd  |  People &amp; Culture Function</w:t>
      </w:r>
    </w:p>
    <w:p>
      <w:r>
        <w:t>Document ID: MGT-HR-004.  Version: 2.3.  Effective date: 1 April 2025.</w:t>
      </w:r>
    </w:p>
    <w:p>
      <w:r>
        <w:t>Policy owner: Head of Reward.  Approved by: Chief People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w:t>
            </w:r>
          </w:p>
        </w:tc>
        <w:tc>
          <w:tcPr>
            <w:tcW w:type="dxa" w:w="2160"/>
          </w:tcPr>
          <w:p>
            <w:r>
              <w:t>01 Apr 2023</w:t>
            </w:r>
          </w:p>
        </w:tc>
        <w:tc>
          <w:tcPr>
            <w:tcW w:type="dxa" w:w="2160"/>
          </w:tcPr>
          <w:p>
            <w:r>
              <w:t>Reward Team</w:t>
            </w:r>
          </w:p>
        </w:tc>
        <w:tc>
          <w:tcPr>
            <w:tcW w:type="dxa" w:w="2160"/>
          </w:tcPr>
          <w:p>
            <w:r>
              <w:t>Introduced formal pay banding</w:t>
            </w:r>
          </w:p>
        </w:tc>
      </w:tr>
      <w:tr>
        <w:tc>
          <w:tcPr>
            <w:tcW w:type="dxa" w:w="2160"/>
          </w:tcPr>
          <w:p>
            <w:r>
              <w:t>2.3</w:t>
            </w:r>
          </w:p>
        </w:tc>
        <w:tc>
          <w:tcPr>
            <w:tcW w:type="dxa" w:w="2160"/>
          </w:tcPr>
          <w:p>
            <w:r>
              <w:t>01 Apr 2025</w:t>
            </w:r>
          </w:p>
        </w:tc>
        <w:tc>
          <w:tcPr>
            <w:tcW w:type="dxa" w:w="2160"/>
          </w:tcPr>
          <w:p>
            <w:r>
              <w:t>Reward Team</w:t>
            </w:r>
          </w:p>
        </w:tc>
        <w:tc>
          <w:tcPr>
            <w:tcW w:type="dxa" w:w="2160"/>
          </w:tcPr>
          <w:p>
            <w:r>
              <w:t>Updated pension and bonus provisions</w:t>
            </w:r>
          </w:p>
        </w:tc>
      </w:tr>
    </w:tbl>
    <w:p>
      <w:pPr>
        <w:pStyle w:val="Heading2"/>
      </w:pPr>
      <w:r>
        <w:t>1. Purpose</w:t>
      </w:r>
    </w:p>
    <w:p>
      <w:r>
        <w:t>This policy is the authoritative source for pay, pension and benefit entitlements at Meridian Grid Technologies. It applies to all permanent and fixed-term employees.</w:t>
      </w:r>
    </w:p>
    <w:p>
      <w:pPr>
        <w:pStyle w:val="Heading2"/>
      </w:pPr>
      <w:r>
        <w:t>2. Salary and Pay Reviews</w:t>
      </w:r>
    </w:p>
    <w:p>
      <w:r>
        <w:t>Salaries are set within published pay bands for each job level. Salary reviews are conducted annually, and any increases take effect from 1 April. Pay decisions take account of individual performance ratings from the Performance Management Policy (MGT-HR-005), market benchmarking and affordability. Salaries are paid monthly in arrears on the 25th of each month.</w:t>
      </w:r>
    </w:p>
    <w:p>
      <w:pPr>
        <w:pStyle w:val="Heading2"/>
      </w:pPr>
      <w:r>
        <w:t>3. Workplace Pension</w:t>
      </w:r>
    </w:p>
    <w:p>
      <w:r>
        <w:t>All eligible employees are automatically enrolled in the workplace pension scheme. The employer contributes 6% of pensionable salary to the workplace pension scheme. Employees contribute a minimum of 4% of pensionable salary, and may increase their own contribution at any time. Contributions are made through salary sacrifice unless the employee opts out of that arrangement.</w:t>
      </w:r>
    </w:p>
    <w:p>
      <w:pPr>
        <w:pStyle w:val="Heading2"/>
      </w:pPr>
      <w:r>
        <w:t>4. Annual Bonus</w:t>
      </w:r>
    </w:p>
    <w:p>
      <w:r>
        <w:t>Employees are eligible for a discretionary annual bonus of up to 10% of base salary, based on a combination of company performance against targets and individual performance rating. Bonuses are paid in the April payroll following the performance year and require the employee to be in employment and not under notice at the payment date.</w:t>
      </w:r>
    </w:p>
    <w:p>
      <w:pPr>
        <w:pStyle w:val="Heading2"/>
      </w:pPr>
      <w:r>
        <w:t>5. Core Benefits</w:t>
      </w:r>
    </w:p>
    <w:p>
      <w:r>
        <w:t>The company provides private medical insurance for all employees after successful completion of probation. Life assurance is provided at 4 times base salary. Employees have access to an employee assistance programme, a cycle-to-work scheme and an electric-vehicle salary-sacrifice scheme for personal cars. A season-ticket loan is available for commuting.</w:t>
      </w:r>
    </w:p>
    <w:p>
      <w:pPr>
        <w:pStyle w:val="Heading2"/>
      </w:pPr>
      <w:r>
        <w:t>6. Notice Periods</w:t>
      </w:r>
    </w:p>
    <w:p>
      <w:r>
        <w:t>Following successful completion of probation, employees are required to give 1 month of written notice to resign. Employees at senior manager level and above are required to give 3 months of written notice. Notice periods during probation are set out in the Recruitment &amp; Onboarding Policy (MGT-HR-006).</w:t>
      </w:r>
    </w:p>
    <w:p>
      <w:pPr>
        <w:pStyle w:val="Heading2"/>
      </w:pPr>
      <w:r>
        <w:t>7. Related Policies</w:t>
      </w:r>
    </w:p>
    <w:p>
      <w:r>
        <w:t>See the Employee Handbook (MGT-HR-001), the Performance Management Policy (MGT-HR-005) and the Code of Conduct &amp; Disciplinary Policy (MGT-HR-009).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