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&amp; Acceptable Use Policy</w:t>
      </w:r>
    </w:p>
    <w:p>
      <w:r>
        <w:rPr>
          <w:b/>
          <w:color w:val="335577"/>
        </w:rPr>
        <w:t>Meridian Grid Technologies Ltd  |  People &amp; Culture Function</w:t>
      </w:r>
    </w:p>
    <w:p>
      <w:r>
        <w:t>Document ID: MGT-HR-007.  Version: 3.1.  Effective date: 1 April 2025.</w:t>
      </w:r>
    </w:p>
    <w:p>
      <w:r>
        <w:t>Policy owner: Head of Information Security.  Approved by: Chief Technology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w:t>
            </w:r>
          </w:p>
        </w:tc>
        <w:tc>
          <w:tcPr>
            <w:tcW w:type="dxa" w:w="2160"/>
          </w:tcPr>
          <w:p>
            <w:r>
              <w:t>01 Jan 2023</w:t>
            </w:r>
          </w:p>
        </w:tc>
        <w:tc>
          <w:tcPr>
            <w:tcW w:type="dxa" w:w="2160"/>
          </w:tcPr>
          <w:p>
            <w:r>
              <w:t>InfoSec</w:t>
            </w:r>
          </w:p>
        </w:tc>
        <w:tc>
          <w:tcPr>
            <w:tcW w:type="dxa" w:w="2160"/>
          </w:tcPr>
          <w:p>
            <w:r>
              <w:t>Introduced data classification scheme</w:t>
            </w:r>
          </w:p>
        </w:tc>
      </w:tr>
      <w:tr>
        <w:tc>
          <w:tcPr>
            <w:tcW w:type="dxa" w:w="2160"/>
          </w:tcPr>
          <w:p>
            <w:r>
              <w:t>3.1</w:t>
            </w:r>
          </w:p>
        </w:tc>
        <w:tc>
          <w:tcPr>
            <w:tcW w:type="dxa" w:w="2160"/>
          </w:tcPr>
          <w:p>
            <w:r>
              <w:t>01 Apr 2025</w:t>
            </w:r>
          </w:p>
        </w:tc>
        <w:tc>
          <w:tcPr>
            <w:tcW w:type="dxa" w:w="2160"/>
          </w:tcPr>
          <w:p>
            <w:r>
              <w:t>InfoSec</w:t>
            </w:r>
          </w:p>
        </w:tc>
        <w:tc>
          <w:tcPr>
            <w:tcW w:type="dxa" w:w="2160"/>
          </w:tcPr>
          <w:p>
            <w:r>
              <w:t>Raised password length; added BYOD email rules</w:t>
            </w:r>
          </w:p>
        </w:tc>
      </w:tr>
    </w:tbl>
    <w:p>
      <w:pPr>
        <w:pStyle w:val="Heading2"/>
      </w:pPr>
      <w:r>
        <w:t>1. Purpose</w:t>
      </w:r>
    </w:p>
    <w:p>
      <w:r>
        <w:t>This policy defines the acceptable use of Meridian Grid Technologies information systems and the security controls that all users must follow. It protects the confidentiality, integrity and availability of company and customer information, including operational data from the electricity grid systems we support.</w:t>
      </w:r>
    </w:p>
    <w:p>
      <w:pPr>
        <w:pStyle w:val="Heading2"/>
      </w:pPr>
      <w:r>
        <w:t>2. Accounts, Passwords and Authentication</w:t>
      </w:r>
    </w:p>
    <w:p>
      <w:r>
        <w:t>Each user is issued a unique account and is responsible for all activity under it. Passwords must be a minimum of 14 characters and must not be reused across systems. Multi-factor authentication is mandatory for all remote access and for all cloud-based business applications. Passwords must never be shared, including with IT support staff.</w:t>
      </w:r>
    </w:p>
    <w:p>
      <w:pPr>
        <w:pStyle w:val="Heading2"/>
      </w:pPr>
      <w:r>
        <w:t>3. Data Classification</w:t>
      </w:r>
    </w:p>
    <w:p>
      <w:r>
        <w:t>All information must be handled according to its classification. The company uses four classification levels: Public, Internal, Confidential and Restricted. Restricted data, which includes grid operational data and personal data of customers, must be encrypted at rest and in transit and may only be accessed on a strict need-to-know basis.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Classification</w:t>
            </w:r>
          </w:p>
        </w:tc>
        <w:tc>
          <w:tcPr>
            <w:tcW w:type="dxa" w:w="2880"/>
          </w:tcPr>
          <w:p>
            <w:r>
              <w:rPr>
                <w:b/>
              </w:rPr>
              <w:t>Examples</w:t>
            </w:r>
          </w:p>
        </w:tc>
        <w:tc>
          <w:tcPr>
            <w:tcW w:type="dxa" w:w="2880"/>
          </w:tcPr>
          <w:p>
            <w:r>
              <w:rPr>
                <w:b/>
              </w:rPr>
              <w:t>Handling</w:t>
            </w:r>
          </w:p>
        </w:tc>
      </w:tr>
      <w:tr>
        <w:tc>
          <w:tcPr>
            <w:tcW w:type="dxa" w:w="2880"/>
          </w:tcPr>
          <w:p>
            <w:r>
              <w:t>Public</w:t>
            </w:r>
          </w:p>
        </w:tc>
        <w:tc>
          <w:tcPr>
            <w:tcW w:type="dxa" w:w="2880"/>
          </w:tcPr>
          <w:p>
            <w:r>
              <w:t>Marketing material</w:t>
            </w:r>
          </w:p>
        </w:tc>
        <w:tc>
          <w:tcPr>
            <w:tcW w:type="dxa" w:w="2880"/>
          </w:tcPr>
          <w:p>
            <w:r>
              <w:t>No restriction</w:t>
            </w:r>
          </w:p>
        </w:tc>
      </w:tr>
      <w:tr>
        <w:tc>
          <w:tcPr>
            <w:tcW w:type="dxa" w:w="2880"/>
          </w:tcPr>
          <w:p>
            <w:r>
              <w:t>Internal</w:t>
            </w:r>
          </w:p>
        </w:tc>
        <w:tc>
          <w:tcPr>
            <w:tcW w:type="dxa" w:w="2880"/>
          </w:tcPr>
          <w:p>
            <w:r>
              <w:t>Team documents</w:t>
            </w:r>
          </w:p>
        </w:tc>
        <w:tc>
          <w:tcPr>
            <w:tcW w:type="dxa" w:w="2880"/>
          </w:tcPr>
          <w:p>
            <w:r>
              <w:t>Staff only</w:t>
            </w:r>
          </w:p>
        </w:tc>
      </w:tr>
      <w:tr>
        <w:tc>
          <w:tcPr>
            <w:tcW w:type="dxa" w:w="2880"/>
          </w:tcPr>
          <w:p>
            <w:r>
              <w:t>Confidential</w:t>
            </w:r>
          </w:p>
        </w:tc>
        <w:tc>
          <w:tcPr>
            <w:tcW w:type="dxa" w:w="2880"/>
          </w:tcPr>
          <w:p>
            <w:r>
              <w:t>Contracts, pay data</w:t>
            </w:r>
          </w:p>
        </w:tc>
        <w:tc>
          <w:tcPr>
            <w:tcW w:type="dxa" w:w="2880"/>
          </w:tcPr>
          <w:p>
            <w:r>
              <w:t>Named recipients</w:t>
            </w:r>
          </w:p>
        </w:tc>
      </w:tr>
      <w:tr>
        <w:tc>
          <w:tcPr>
            <w:tcW w:type="dxa" w:w="2880"/>
          </w:tcPr>
          <w:p>
            <w:r>
              <w:t>Restricted</w:t>
            </w:r>
          </w:p>
        </w:tc>
        <w:tc>
          <w:tcPr>
            <w:tcW w:type="dxa" w:w="2880"/>
          </w:tcPr>
          <w:p>
            <w:r>
              <w:t>Grid operational data</w:t>
            </w:r>
          </w:p>
        </w:tc>
        <w:tc>
          <w:tcPr>
            <w:tcW w:type="dxa" w:w="2880"/>
          </w:tcPr>
          <w:p>
            <w:r>
              <w:t>Encrypt; need-to-know</w:t>
            </w:r>
          </w:p>
        </w:tc>
      </w:tr>
    </w:tbl>
    <w:p>
      <w:pPr>
        <w:pStyle w:val="Heading2"/>
      </w:pPr>
      <w:r>
        <w:t>4. Personal Devices and Bring Your Own Device</w:t>
      </w:r>
    </w:p>
    <w:p>
      <w:r>
        <w:t>The use of personal mobile devices to access corporate email is permitted for enrolled employees, provided the device is registered with the mobile-device-management system and protected by a passcode and remote-wipe capability. Personal devices must run a supported operating system and must not be jailbroken or rooted. The company reserves the right to remove company data from any enrolled personal device.</w:t>
      </w:r>
    </w:p>
    <w:p>
      <w:pPr>
        <w:pStyle w:val="Heading2"/>
      </w:pPr>
      <w:r>
        <w:t>5. Acceptable Use</w:t>
      </w:r>
    </w:p>
    <w:p>
      <w:r>
        <w:t>Company systems are provided for business use. Limited personal use is tolerated provided it does not interfere with work, consume significant resources, or breach this policy. Users must not access, store or distribute unlawful, offensive or discriminatory material, and must not attempt to bypass security controls.</w:t>
      </w:r>
    </w:p>
    <w:p>
      <w:pPr>
        <w:pStyle w:val="Heading2"/>
      </w:pPr>
      <w:r>
        <w:t>6. Software and Data Transfer</w:t>
      </w:r>
    </w:p>
    <w:p>
      <w:r>
        <w:t>Only software approved by the IT department may be installed on company devices. Company data must not be copied to unencrypted removable media or personal cloud storage accounts. Use of generative-AI tools with company data is restricted to approved enterprise services.</w:t>
      </w:r>
    </w:p>
    <w:p>
      <w:pPr>
        <w:pStyle w:val="Heading2"/>
      </w:pPr>
      <w:r>
        <w:t>7. Incident Reporting</w:t>
      </w:r>
    </w:p>
    <w:p>
      <w:r>
        <w:t>Suspected security incidents, including lost devices, phishing emails and suspected data breaches, must be reported to the IT service desk immediately and no later than 1 hour after discovery. Prompt reporting is essential to meet regulatory obligations.</w:t>
      </w:r>
    </w:p>
    <w:p>
      <w:pPr>
        <w:pStyle w:val="Heading2"/>
      </w:pPr>
      <w:r>
        <w:t>8. Related Policies</w:t>
      </w:r>
    </w:p>
    <w:p>
      <w:r>
        <w:t>See the Flexible &amp; Remote Work Policy (MGT-HR-003), the Code of Conduct &amp; Disciplinary Policy (MGT-HR-009) and the company Data Protection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