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&amp; Time-Off Policy</w:t>
      </w:r>
    </w:p>
    <w:p>
      <w:r>
        <w:rPr>
          <w:b/>
          <w:color w:val="335577"/>
        </w:rPr>
        <w:t>Meridian Grid Technologies Ltd  |  People &amp; Culture Function</w:t>
      </w:r>
    </w:p>
    <w:p>
      <w:r>
        <w:t>Document ID: MGT-HR-002.  Version: 4.1.  Effective date: 1 April 2025.</w:t>
      </w:r>
    </w:p>
    <w:p>
      <w:r>
        <w:t>Policy owner: Head of People Operations.  Approved by: Chief People Officer.  Review cycle: Annual.</w:t>
      </w:r>
    </w:p>
    <w:p>
      <w:r>
        <w:t>Classification: Internal Use Only.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05 Mar 2022</w:t>
            </w:r>
          </w:p>
        </w:tc>
        <w:tc>
          <w:tcPr>
            <w:tcW w:type="dxa" w:w="2160"/>
          </w:tcPr>
          <w:p>
            <w:r>
              <w:t>People Operations</w:t>
            </w:r>
          </w:p>
        </w:tc>
        <w:tc>
          <w:tcPr>
            <w:tcW w:type="dxa" w:w="2160"/>
          </w:tcPr>
          <w:p>
            <w:r>
              <w:t>Introduced service-based leave bands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10 Feb 2024</w:t>
            </w:r>
          </w:p>
        </w:tc>
        <w:tc>
          <w:tcPr>
            <w:tcW w:type="dxa" w:w="2160"/>
          </w:tcPr>
          <w:p>
            <w:r>
              <w:t>People Operations</w:t>
            </w:r>
          </w:p>
        </w:tc>
        <w:tc>
          <w:tcPr>
            <w:tcW w:type="dxa" w:w="2160"/>
          </w:tcPr>
          <w:p>
            <w:r>
              <w:t>Enhanced maternity to 16 weeks full pay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01 Apr 2025</w:t>
            </w:r>
          </w:p>
        </w:tc>
        <w:tc>
          <w:tcPr>
            <w:tcW w:type="dxa" w:w="2160"/>
          </w:tcPr>
          <w:p>
            <w:r>
              <w:t>People Operations</w:t>
            </w:r>
          </w:p>
        </w:tc>
        <w:tc>
          <w:tcPr>
            <w:tcW w:type="dxa" w:w="2160"/>
          </w:tcPr>
          <w:p>
            <w:r>
              <w:t>Clarified carry-over and sabbatical rules</w:t>
            </w:r>
          </w:p>
        </w:tc>
      </w:tr>
    </w:tbl>
    <w:p>
      <w:pPr>
        <w:pStyle w:val="Heading2"/>
      </w:pPr>
      <w:r>
        <w:t>1. Purpose and Scope</w:t>
      </w:r>
    </w:p>
    <w:p>
      <w:r>
        <w:t>This policy sets out all paid and unpaid leave entitlements for employees of Meridian Grid Technologies. It applies to all permanent and fixed-term employees. Agency workers and contractors are covered by their own engagement terms.</w:t>
      </w:r>
    </w:p>
    <w:p>
      <w:pPr>
        <w:pStyle w:val="Heading2"/>
      </w:pPr>
      <w:r>
        <w:t>2. Annual Leave</w:t>
      </w:r>
    </w:p>
    <w:p>
      <w:pPr>
        <w:pStyle w:val="Heading3"/>
      </w:pPr>
      <w:r>
        <w:t>2.1 Entitlement</w:t>
      </w:r>
    </w:p>
    <w:p>
      <w:r>
        <w:t>The standard annual leave entitlement is 25 days per year for full-time employees, in addition to the 8 public bank holidays recognised in England and Wales. The leave year runs from 1 January to 31 December. Part-time employees receive a pro-rata entitlement based on contracted hours.</w:t>
      </w:r>
    </w:p>
    <w:p>
      <w:r>
        <w:t>Annual leave entitlement increases with length of service. Employees receive 27 days per year after completing 5 years of continuous service, and 30 days per year after completing 10 years of continuous service. The additional days take effect from the leave year following the relevant service anniversary.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Completed years of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Annual leave (days)</w:t>
            </w:r>
          </w:p>
        </w:tc>
      </w:tr>
      <w:tr>
        <w:tc>
          <w:tcPr>
            <w:tcW w:type="dxa" w:w="4320"/>
          </w:tcPr>
          <w:p>
            <w:r>
              <w:t>0 to 4 years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5 to 9 years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10 years or more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3"/>
      </w:pPr>
      <w:r>
        <w:t>2.2 Carry-Over</w:t>
      </w:r>
    </w:p>
    <w:p>
      <w:r>
        <w:t>Employees may carry over a maximum of 5 days of unused annual leave into the following leave year. Carried-over leave must be taken by 31 March, after which it is forfeited. Carry-over above 5 days is permitted only where the employee was prevented from taking leave due to long-term sickness or maternity, paternity or adoption leave.</w:t>
      </w:r>
    </w:p>
    <w:p>
      <w:pPr>
        <w:pStyle w:val="Heading3"/>
      </w:pPr>
      <w:r>
        <w:t>2.3 Booking and Approval</w:t>
      </w:r>
    </w:p>
    <w:p>
      <w:r>
        <w:t>Annual leave must be requested through the HR system and approved by the line manager in advance. A minimum of two weeks' notice is expected for absences of one week or more. No more than 10 consecutive working days may be taken without director approval.</w:t>
      </w:r>
    </w:p>
    <w:p>
      <w:pPr>
        <w:pStyle w:val="Heading2"/>
      </w:pPr>
      <w:r>
        <w:t>3. Sickness Absence and Sick Pay</w:t>
      </w:r>
    </w:p>
    <w:p>
      <w:r>
        <w:t>Employees must notify their line manager of sickness absence by 09:30 on the first day of absence. A self-certification form is required for absences of up to 7 calendar days; a fit note from a GP is required for longer absences.</w:t>
      </w:r>
    </w:p>
    <w:p>
      <w:r>
        <w:t>After completing 1 year of continuous service, employees are entitled to company sick pay of 3 months at full pay followed by 3 months at half pay in any rolling 12-month period. During the first year of service, employees receive Statutory Sick Pay only. Company sick pay is inclusive of Statutory Sick Pay.</w:t>
      </w:r>
    </w:p>
    <w:p>
      <w:pPr>
        <w:pStyle w:val="Heading2"/>
      </w:pPr>
      <w:r>
        <w:t>4. Family Leave</w:t>
      </w:r>
    </w:p>
    <w:p>
      <w:pPr>
        <w:pStyle w:val="Heading3"/>
      </w:pPr>
      <w:r>
        <w:t>4.1 Maternity Leave</w:t>
      </w:r>
    </w:p>
    <w:p>
      <w:r>
        <w:t>Eligible employees are entitled to enhanced maternity pay of 16 weeks at full pay, followed by 23 weeks at the prevailing rate of Statutory Maternity Pay, and a further 13 weeks unpaid, giving a total of up to 52 weeks of maternity leave. Enhanced maternity pay requires 26 weeks of continuous service by the 15th week before the expected week of childbirth.</w:t>
      </w:r>
    </w:p>
    <w:p>
      <w:pPr>
        <w:pStyle w:val="Heading3"/>
      </w:pPr>
      <w:r>
        <w:t>4.2 Paternity Leave</w:t>
      </w:r>
    </w:p>
    <w:p>
      <w:r>
        <w:t>Eligible employees are entitled to 4 weeks of paternity leave at full pay, to be taken within 52 weeks of the birth or placement for adoption. This enhances the statutory entitlement of 2 weeks.</w:t>
      </w:r>
    </w:p>
    <w:p>
      <w:pPr>
        <w:pStyle w:val="Heading3"/>
      </w:pPr>
      <w:r>
        <w:t>4.3 Adoption and Shared Parental Leave</w:t>
      </w:r>
    </w:p>
    <w:p>
      <w:r>
        <w:t>Adoption leave mirrors the enhanced maternity provisions. Shared Parental Leave is available in line with statutory rules and should be requested at least 8 weeks in advance.</w:t>
      </w:r>
    </w:p>
    <w:p>
      <w:pPr>
        <w:pStyle w:val="Heading2"/>
      </w:pPr>
      <w:r>
        <w:t>5. Other Leave</w:t>
      </w:r>
    </w:p>
    <w:p>
      <w:pPr>
        <w:pStyle w:val="Heading3"/>
      </w:pPr>
      <w:r>
        <w:t>5.1 Compassionate and Bereavement Leave</w:t>
      </w:r>
    </w:p>
    <w:p>
      <w:r>
        <w:t>Employees may take up to 5 days of paid compassionate leave following the death of a close family member. Parental bereavement leave of 2 weeks is provided in line with statutory entitlement.</w:t>
      </w:r>
    </w:p>
    <w:p>
      <w:pPr>
        <w:pStyle w:val="Heading3"/>
      </w:pPr>
      <w:r>
        <w:t>5.2 Sabbatical Leave</w:t>
      </w:r>
    </w:p>
    <w:p>
      <w:r>
        <w:t>Employees with at least 5 years of continuous service may apply for an unpaid sabbatical of between 1 and 6 months. Sabbaticals are granted at management discretion and are subject to operational needs. A sabbatical does not break continuity of service.</w:t>
      </w:r>
    </w:p>
    <w:p>
      <w:pPr>
        <w:pStyle w:val="Heading3"/>
      </w:pPr>
      <w:r>
        <w:t>5.3 Public Duties</w:t>
      </w:r>
    </w:p>
    <w:p>
      <w:r>
        <w:t>Reasonable unpaid time off is granted for public duties such as acting as a magistrate or school governor. Employees should give as much notice as possible.</w:t>
      </w:r>
    </w:p>
    <w:p>
      <w:pPr>
        <w:pStyle w:val="Heading2"/>
      </w:pPr>
      <w:r>
        <w:t>6. Related Policies</w:t>
      </w:r>
    </w:p>
    <w:p>
      <w:r>
        <w:t>This policy should be read alongside the Employee Handbook (MGT-HR-001), the Flexible &amp; Remote Work Policy (MGT-HR-003) and the Compensation &amp; Benefits Policy (MGT-HR-004).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