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Management Policy</w:t>
      </w:r>
    </w:p>
    <w:p>
      <w:r>
        <w:rPr>
          <w:b/>
          <w:color w:val="335577"/>
        </w:rPr>
        <w:t>Meridian Grid Technologies Ltd  |  People &amp; Culture Function</w:t>
      </w:r>
    </w:p>
    <w:p>
      <w:r>
        <w:t>Document ID: MGT-HR-005.  Version: 2.0.  Effective date: 1 April 2025.</w:t>
      </w:r>
    </w:p>
    <w:p>
      <w:r>
        <w:t>Policy owner: Head of Talent.  Approved by: Chief People Officer.  Review cycle: Annual.</w:t>
      </w:r>
    </w:p>
    <w:p>
      <w:r>
        <w:t>Classification: Internal Use Only.</w:t>
      </w: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01 Apr 2022</w:t>
            </w:r>
          </w:p>
        </w:tc>
        <w:tc>
          <w:tcPr>
            <w:tcW w:type="dxa" w:w="2160"/>
          </w:tcPr>
          <w:p>
            <w:r>
              <w:t>Talent Team</w:t>
            </w:r>
          </w:p>
        </w:tc>
        <w:tc>
          <w:tcPr>
            <w:tcW w:type="dxa" w:w="2160"/>
          </w:tcPr>
          <w:p>
            <w:r>
              <w:t>Introduced structured appraisal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01 Apr 2025</w:t>
            </w:r>
          </w:p>
        </w:tc>
        <w:tc>
          <w:tcPr>
            <w:tcW w:type="dxa" w:w="2160"/>
          </w:tcPr>
          <w:p>
            <w:r>
              <w:t>Talent Team</w:t>
            </w:r>
          </w:p>
        </w:tc>
        <w:tc>
          <w:tcPr>
            <w:tcW w:type="dxa" w:w="2160"/>
          </w:tcPr>
          <w:p>
            <w:r>
              <w:t>Moved to two formal reviews per year</w:t>
            </w:r>
          </w:p>
        </w:tc>
      </w:tr>
    </w:tbl>
    <w:p>
      <w:pPr>
        <w:pStyle w:val="Heading2"/>
      </w:pPr>
      <w:r>
        <w:t>1. Purpose</w:t>
      </w:r>
    </w:p>
    <w:p>
      <w:r>
        <w:t>This policy describes how performance is planned, reviewed and rewarded at Meridian Grid Technologies, and how underperformance is addressed fairly and consistently.</w:t>
      </w:r>
    </w:p>
    <w:p>
      <w:pPr>
        <w:pStyle w:val="Heading2"/>
      </w:pPr>
      <w:r>
        <w:t>2. Performance Review Cycle</w:t>
      </w:r>
    </w:p>
    <w:p>
      <w:r>
        <w:t>Formal performance reviews are conducted twice per year: a mid-year review in July and a year-end review in January. This bi-annual cycle ensures objectives remain current and feedback is timely. In addition, managers are expected to hold monthly one-to-one check-ins with each team member.</w:t>
      </w:r>
    </w:p>
    <w:p>
      <w:pPr>
        <w:pStyle w:val="Heading2"/>
      </w:pPr>
      <w:r>
        <w:t>3. Objectives and Ratings</w:t>
      </w:r>
    </w:p>
    <w:p>
      <w:r>
        <w:t>Each employee agrees between 4 and 6 objectives at the start of the performance year. At the year-end review, overall performance is scored on a rating scale of 1 to 5, where 1 is 'below expectations' and 5 is 'outstanding'. A rating of 3 represents 'fully meeting expectations'. The year-end rating informs pay and bonus decisions under the Compensation &amp; Benefits Policy (MGT-HR-004).</w:t>
      </w:r>
    </w:p>
    <w:p>
      <w:pPr>
        <w:pStyle w:val="Heading2"/>
      </w:pPr>
      <w:r>
        <w:t>4. Promotion</w:t>
      </w:r>
    </w:p>
    <w:p>
      <w:r>
        <w:t>Promotions are considered once per year as part of the year-end review, with any promotions and associated salary changes taking effect from 1 April. Promotion requires a sustained performance rating of 4 or above and evidence of working at the next job level.</w:t>
      </w:r>
    </w:p>
    <w:p>
      <w:pPr>
        <w:pStyle w:val="Heading2"/>
      </w:pPr>
      <w:r>
        <w:t>5. Managing Underperformance</w:t>
      </w:r>
    </w:p>
    <w:p>
      <w:r>
        <w:t>Where performance falls short of expectations, the manager will first provide informal support and coaching. If performance does not improve, a formal Performance Improvement Plan (PIP) is put in place for a defined period, normally 8 to 12 weeks, with clear objectives and regular reviews. Failure to meet a PIP may lead to action under the Code of Conduct &amp; Disciplinary Policy (MGT-HR-009).</w:t>
      </w:r>
    </w:p>
    <w:p>
      <w:pPr>
        <w:pStyle w:val="Heading2"/>
      </w:pPr>
      <w:r>
        <w:t>6. Probation Reviews</w:t>
      </w:r>
    </w:p>
    <w:p>
      <w:r>
        <w:t>Performance during the probationary period is reviewed separately from the annual cycle. The length of the probationary period and the probation review schedule are defined in the Recruitment &amp; Onboarding Policy (MGT-HR-006).</w:t>
      </w:r>
    </w:p>
    <w:p>
      <w:pPr>
        <w:pStyle w:val="Heading2"/>
      </w:pPr>
      <w:r>
        <w:t>7. Related Policies</w:t>
      </w:r>
    </w:p>
    <w:p>
      <w:r>
        <w:t>See the Compensation &amp; Benefits Policy (MGT-HR-004) and the Recruitment &amp; Onboarding Policy (MGT-HR-006).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