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Recruitment &amp; Onboarding Policy</w:t>
      </w:r>
    </w:p>
    <w:p>
      <w:r>
        <w:rPr>
          <w:b/>
          <w:color w:val="335577"/>
        </w:rPr>
        <w:t>Meridian Grid Technologies Ltd  |  People &amp; Culture Function</w:t>
      </w:r>
    </w:p>
    <w:p>
      <w:r>
        <w:t>Document ID: MGT-HR-006.  Version: 1.4.  Effective date: 1 April 2025.</w:t>
      </w:r>
    </w:p>
    <w:p>
      <w:r>
        <w:t>Policy owner: Head of Talent Acquisition.  Approved by: Chief People Officer.  Review cycle: Annual.</w:t>
      </w:r>
    </w:p>
    <w:p>
      <w:r>
        <w:t>Classification: Internal Use Only.</w:t>
      </w:r>
    </w:p>
    <w:p>
      <w:pPr>
        <w:pStyle w:val="Heading2"/>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Summary of changes</w:t>
            </w:r>
          </w:p>
        </w:tc>
      </w:tr>
      <w:tr>
        <w:tc>
          <w:tcPr>
            <w:tcW w:type="dxa" w:w="2160"/>
          </w:tcPr>
          <w:p>
            <w:r>
              <w:t>1.0</w:t>
            </w:r>
          </w:p>
        </w:tc>
        <w:tc>
          <w:tcPr>
            <w:tcW w:type="dxa" w:w="2160"/>
          </w:tcPr>
          <w:p>
            <w:r>
              <w:t>01 Sep 2021</w:t>
            </w:r>
          </w:p>
        </w:tc>
        <w:tc>
          <w:tcPr>
            <w:tcW w:type="dxa" w:w="2160"/>
          </w:tcPr>
          <w:p>
            <w:r>
              <w:t>Talent Acquisition</w:t>
            </w:r>
          </w:p>
        </w:tc>
        <w:tc>
          <w:tcPr>
            <w:tcW w:type="dxa" w:w="2160"/>
          </w:tcPr>
          <w:p>
            <w:r>
              <w:t>First recruitment policy</w:t>
            </w:r>
          </w:p>
        </w:tc>
      </w:tr>
      <w:tr>
        <w:tc>
          <w:tcPr>
            <w:tcW w:type="dxa" w:w="2160"/>
          </w:tcPr>
          <w:p>
            <w:r>
              <w:t>1.4</w:t>
            </w:r>
          </w:p>
        </w:tc>
        <w:tc>
          <w:tcPr>
            <w:tcW w:type="dxa" w:w="2160"/>
          </w:tcPr>
          <w:p>
            <w:r>
              <w:t>01 Apr 2025</w:t>
            </w:r>
          </w:p>
        </w:tc>
        <w:tc>
          <w:tcPr>
            <w:tcW w:type="dxa" w:w="2160"/>
          </w:tcPr>
          <w:p>
            <w:r>
              <w:t>Talent Acquisition</w:t>
            </w:r>
          </w:p>
        </w:tc>
        <w:tc>
          <w:tcPr>
            <w:tcW w:type="dxa" w:w="2160"/>
          </w:tcPr>
          <w:p>
            <w:r>
              <w:t>Updated referral scheme and probation reviews</w:t>
            </w:r>
          </w:p>
        </w:tc>
      </w:tr>
    </w:tbl>
    <w:p>
      <w:pPr>
        <w:pStyle w:val="Heading2"/>
      </w:pPr>
      <w:r>
        <w:t>1. Purpose and Scope</w:t>
      </w:r>
    </w:p>
    <w:p>
      <w:r>
        <w:t>This policy governs how Meridian Grid Technologies attracts, selects and onboards new employees, ensuring a fair, consistent and legally compliant process. It applies to all permanent, fixed-term and apprenticeship hires.</w:t>
      </w:r>
    </w:p>
    <w:p>
      <w:pPr>
        <w:pStyle w:val="Heading2"/>
      </w:pPr>
      <w:r>
        <w:t>2. Recruitment Process</w:t>
      </w:r>
    </w:p>
    <w:p>
      <w:r>
        <w:t>All vacancies must be authorised by the relevant budget holder before advertising. Roles are advertised internally and externally simultaneously unless a role is ring-fenced for redeployment. Selection is based on structured interviews and, where relevant, technical assessments. At least two interviewers are required for every hiring decision to reduce bias.</w:t>
      </w:r>
    </w:p>
    <w:p>
      <w:pPr>
        <w:pStyle w:val="Heading2"/>
      </w:pPr>
      <w:r>
        <w:t>3. Right to Work and Pre-Employment Checks</w:t>
      </w:r>
    </w:p>
    <w:p>
      <w:r>
        <w:t>Right-to-work checks must be completed and documented before an individual starts employment, in line with UK immigration law. References covering the previous 3 years of employment are obtained for all appointments. Roles with safety or financial responsibility are subject to additional background screening.</w:t>
      </w:r>
    </w:p>
    <w:p>
      <w:pPr>
        <w:pStyle w:val="Heading2"/>
      </w:pPr>
      <w:r>
        <w:t>4. Employee Referral Scheme</w:t>
      </w:r>
    </w:p>
    <w:p>
      <w:r>
        <w:t>Employees who refer a candidate who is successfully appointed and completes probation are eligible for a referral bonus of GBP 1,500, paid in the payroll following confirmation of the new hire's probation. The scheme does not apply to referrals for roles at senior manager level and above, or to hiring managers referring into their own team.</w:t>
      </w:r>
    </w:p>
    <w:p>
      <w:pPr>
        <w:pStyle w:val="Heading2"/>
      </w:pPr>
      <w:r>
        <w:t>5. Probationary Period</w:t>
      </w:r>
    </w:p>
    <w:p>
      <w:r>
        <w:t>The probationary period for all new employees is 6 months from the start date. The probationary period allows both the employee and the company to assess suitability for the role. Progress is reviewed formally at the mid-point and again before the end of the period.</w:t>
      </w:r>
    </w:p>
    <w:p>
      <w:r>
        <w:t>During the probationary period, the notice period required from either party is 1 week. Where performance or conduct concerns arise, the probationary period may be extended once by up to 3 months. Successful completion is confirmed to the employee in writing.</w:t>
      </w:r>
    </w:p>
    <w:p>
      <w:pPr>
        <w:pStyle w:val="Heading2"/>
      </w:pPr>
      <w:r>
        <w:t>6. Onboarding</w:t>
      </w:r>
    </w:p>
    <w:p>
      <w:r>
        <w:t>New employees follow a structured 90-day onboarding plan comprising a first-day induction, mandatory health-and-safety and information-security training within the first week, and 30-, 60- and 90-day check-ins with the line manager. IT equipment and system access are arranged before the start date wherever possible.</w:t>
      </w:r>
    </w:p>
    <w:p>
      <w:pPr>
        <w:pStyle w:val="Heading2"/>
      </w:pPr>
      <w:r>
        <w:t>7. Related Policies</w:t>
      </w:r>
    </w:p>
    <w:p>
      <w:r>
        <w:t>See the Employee Handbook (MGT-HR-001), the Performance Management Policy (MGT-HR-005) and the IT &amp; Acceptable Use Policy (MGT-HR-007).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