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Travel &amp; Expense Policy</w:t>
      </w:r>
    </w:p>
    <w:p>
      <w:r>
        <w:rPr>
          <w:b/>
          <w:color w:val="335577"/>
        </w:rPr>
        <w:t>Meridian Grid Technologies Ltd  |  People &amp; Culture Function</w:t>
      </w:r>
    </w:p>
    <w:p>
      <w:r>
        <w:t>Document ID: MGT-HR-008.  Version: 2.1.  Effective date: 1 April 2025.</w:t>
      </w:r>
    </w:p>
    <w:p>
      <w:r>
        <w:t>Policy owner: Head of Finance Operations.  Approved by: Chief Financial Officer.  Review cycle: Annual.</w:t>
      </w:r>
    </w:p>
    <w:p>
      <w:r>
        <w:t>Classification: Internal Use Only.</w:t>
      </w:r>
    </w:p>
    <w:p>
      <w:pPr>
        <w:pStyle w:val="Heading2"/>
      </w:pPr>
      <w:r>
        <w:t>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Version</w:t>
            </w:r>
          </w:p>
        </w:tc>
        <w:tc>
          <w:tcPr>
            <w:tcW w:type="dxa" w:w="2160"/>
          </w:tcPr>
          <w:p>
            <w:r>
              <w:rPr>
                <w:b/>
              </w:rPr>
              <w:t>Date</w:t>
            </w:r>
          </w:p>
        </w:tc>
        <w:tc>
          <w:tcPr>
            <w:tcW w:type="dxa" w:w="2160"/>
          </w:tcPr>
          <w:p>
            <w:r>
              <w:rPr>
                <w:b/>
              </w:rPr>
              <w:t>Author</w:t>
            </w:r>
          </w:p>
        </w:tc>
        <w:tc>
          <w:tcPr>
            <w:tcW w:type="dxa" w:w="2160"/>
          </w:tcPr>
          <w:p>
            <w:r>
              <w:rPr>
                <w:b/>
              </w:rPr>
              <w:t>Summary of changes</w:t>
            </w:r>
          </w:p>
        </w:tc>
      </w:tr>
      <w:tr>
        <w:tc>
          <w:tcPr>
            <w:tcW w:type="dxa" w:w="2160"/>
          </w:tcPr>
          <w:p>
            <w:r>
              <w:t>2.0</w:t>
            </w:r>
          </w:p>
        </w:tc>
        <w:tc>
          <w:tcPr>
            <w:tcW w:type="dxa" w:w="2160"/>
          </w:tcPr>
          <w:p>
            <w:r>
              <w:t>01 Apr 2024</w:t>
            </w:r>
          </w:p>
        </w:tc>
        <w:tc>
          <w:tcPr>
            <w:tcW w:type="dxa" w:w="2160"/>
          </w:tcPr>
          <w:p>
            <w:r>
              <w:t>Finance Operations</w:t>
            </w:r>
          </w:p>
        </w:tc>
        <w:tc>
          <w:tcPr>
            <w:tcW w:type="dxa" w:w="2160"/>
          </w:tcPr>
          <w:p>
            <w:r>
              <w:t>Aligned mileage to HMRC approved rates</w:t>
            </w:r>
          </w:p>
        </w:tc>
      </w:tr>
      <w:tr>
        <w:tc>
          <w:tcPr>
            <w:tcW w:type="dxa" w:w="2160"/>
          </w:tcPr>
          <w:p>
            <w:r>
              <w:t>2.1</w:t>
            </w:r>
          </w:p>
        </w:tc>
        <w:tc>
          <w:tcPr>
            <w:tcW w:type="dxa" w:w="2160"/>
          </w:tcPr>
          <w:p>
            <w:r>
              <w:t>01 Apr 2025</w:t>
            </w:r>
          </w:p>
        </w:tc>
        <w:tc>
          <w:tcPr>
            <w:tcW w:type="dxa" w:w="2160"/>
          </w:tcPr>
          <w:p>
            <w:r>
              <w:t>Finance Operations</w:t>
            </w:r>
          </w:p>
        </w:tc>
        <w:tc>
          <w:tcPr>
            <w:tcW w:type="dxa" w:w="2160"/>
          </w:tcPr>
          <w:p>
            <w:r>
              <w:t>Updated subsistence and hotel caps</w:t>
            </w:r>
          </w:p>
        </w:tc>
      </w:tr>
    </w:tbl>
    <w:p>
      <w:pPr>
        <w:pStyle w:val="Heading2"/>
      </w:pPr>
      <w:r>
        <w:t>1. Purpose and Principles</w:t>
      </w:r>
    </w:p>
    <w:p>
      <w:r>
        <w:t>This policy sets out how employees book business travel and claim expenses at Meridian Grid Technologies. Employees should incur only reasonable and necessary costs, choose the most economical option appropriate to the circumstances, and always obtain a valid receipt.</w:t>
      </w:r>
    </w:p>
    <w:p>
      <w:pPr>
        <w:pStyle w:val="Heading2"/>
      </w:pPr>
      <w:r>
        <w:t>2. Mileage and Private Vehicle Use</w:t>
      </w:r>
    </w:p>
    <w:p>
      <w:r>
        <w:t>Where employees use their own vehicle for business travel, mileage is reimbursed at 45 pence per mile for the first 10,000 business miles in the tax year, and 25 pence per mile for any additional business miles. These rates follow HMRC approved mileage allowance payments. Ordinary commuting between home and the normal place of work is not reimbursable.</w:t>
      </w:r>
    </w:p>
    <w:p>
      <w:pPr>
        <w:pStyle w:val="Heading2"/>
      </w:pPr>
      <w:r>
        <w:t>3. Rail, Air and Taxis</w:t>
      </w:r>
    </w:p>
    <w:p>
      <w:r>
        <w:t>Rail travel should be booked as standard class in advance through the company travel provider. Air travel is economy class for flights under 6 hours. Taxis may be used where no reasonable public-transport alternative exists or for safety reasons outside normal hours.</w:t>
      </w:r>
    </w:p>
    <w:p>
      <w:pPr>
        <w:pStyle w:val="Heading2"/>
      </w:pPr>
      <w:r>
        <w:t>4. Accommodation</w:t>
      </w:r>
    </w:p>
    <w:p>
      <w:r>
        <w:t>Where an overnight stay is required, the maximum room rate the company will reimburse is GBP 180 per night in London and GBP 120 per night elsewhere in the United Kingdom. Rates above these caps require prior approval from a director. Bookings should be made through the company travel provider wherever possible.</w:t>
      </w:r>
    </w:p>
    <w:p>
      <w:pPr>
        <w:pStyle w:val="Heading2"/>
      </w:pPr>
      <w:r>
        <w:t>5. Subsistence</w:t>
      </w:r>
    </w:p>
    <w:p>
      <w:r>
        <w:t>When travelling on business and away from the normal place of work, employees may claim actual meal costs up to a daily limit. The subsistence caps are GBP 10 for breakfast and GBP 30 for an evening meal, supported by receipts. Alcohol is not reimbursable.</w:t>
      </w:r>
    </w:p>
    <w:p>
      <w:pPr>
        <w:pStyle w:val="Heading2"/>
      </w:pPr>
      <w:r>
        <w:t>6. Approval and Submission</w:t>
      </w:r>
    </w:p>
    <w:p>
      <w:r>
        <w:t>All expense claims must be submitted through the expense system within 30 days of the date the cost was incurred. Claims submitted after 30 days may be refused. Individual claims up to GBP 500 are approved by the line manager; claims above GBP 500 require additional approval from the department head. Expenses are reimbursed with the next monthly payroll after approval.</w:t>
      </w:r>
    </w:p>
    <w:p>
      <w:pPr>
        <w:pStyle w:val="Heading2"/>
      </w:pPr>
      <w:r>
        <w:t>7. Related Policies</w:t>
      </w:r>
    </w:p>
    <w:p>
      <w:r>
        <w:t>See the Flexible &amp; Remote Work Policy (MGT-HR-003) and the Code of Conduct &amp; Disciplinary Policy (MGT-HR-009) regarding gifts and hospitality.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