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 &amp; Security Policy</w:t>
      </w:r>
    </w:p>
    <w:p>
      <w:r>
        <w:t>Corporate Human Resources Policy Manual</w:t>
        <w:br/>
        <w:t>Version: 2025.2</w:t>
        <w:br/>
        <w:t>Classification: Internal Use Only</w:t>
        <w:br/>
        <w:br/>
        <w:t>This document defines standards governing employment practices and operational procedures.</w:t>
      </w:r>
    </w:p>
    <w:p>
      <w:pPr>
        <w:pStyle w:val="Heading2"/>
      </w:pPr>
      <w:r>
        <w:t>Purpose</w:t>
      </w:r>
    </w:p>
    <w:p>
      <w:r>
        <w:t xml:space="preserve">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w:t>
      </w:r>
    </w:p>
    <w:p>
      <w:pPr>
        <w:pStyle w:val="Heading2"/>
      </w:pPr>
      <w:r>
        <w:t>Scope</w:t>
      </w:r>
    </w:p>
    <w:p>
      <w:r>
        <w:t xml:space="preserve">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w:t>
      </w:r>
    </w:p>
    <w:p>
      <w:pPr>
        <w:pStyle w:val="Heading2"/>
      </w:pPr>
      <w:r>
        <w:t>Definitions</w:t>
      </w:r>
    </w:p>
    <w:p>
      <w:r>
        <w:t xml:space="preserve">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w:t>
      </w:r>
    </w:p>
    <w:p>
      <w:pPr>
        <w:pStyle w:val="Heading2"/>
      </w:pPr>
      <w:r>
        <w:t>Policy Statement</w:t>
      </w:r>
    </w:p>
    <w:p>
      <w:r>
        <w:t>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Employees may not use personally owned devices to access company systems.</w:t>
      </w:r>
    </w:p>
    <w:p>
      <w:pPr>
        <w:pStyle w:val="Heading2"/>
      </w:pPr>
      <w:r>
        <w:t>Employee Responsibilities</w:t>
      </w:r>
    </w:p>
    <w:p>
      <w:r>
        <w:t xml:space="preserve">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w:t>
      </w:r>
    </w:p>
    <w:p>
      <w:pPr>
        <w:pStyle w:val="Heading2"/>
      </w:pPr>
      <w:r>
        <w:t>Manager Responsibilities</w:t>
      </w:r>
    </w:p>
    <w:p>
      <w:r>
        <w:t xml:space="preserve">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w:t>
      </w:r>
    </w:p>
    <w:p>
      <w:pPr>
        <w:pStyle w:val="Heading2"/>
      </w:pPr>
      <w:r>
        <w:t>Procedures</w:t>
      </w:r>
    </w:p>
    <w:p>
      <w:r>
        <w:t xml:space="preserve">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w:t>
      </w:r>
    </w:p>
    <w:p>
      <w:pPr>
        <w:pStyle w:val="Heading2"/>
      </w:pPr>
      <w:r>
        <w:t>Compliance</w:t>
      </w:r>
    </w:p>
    <w:p>
      <w:r>
        <w:t xml:space="preserve">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w:t>
      </w:r>
    </w:p>
    <w:p>
      <w:pPr>
        <w:pStyle w:val="Heading2"/>
      </w:pPr>
      <w:r>
        <w:t>Exceptions</w:t>
      </w:r>
    </w:p>
    <w:p>
      <w:r>
        <w:t xml:space="preserve">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w:t>
      </w:r>
    </w:p>
    <w:p>
      <w:pPr>
        <w:pStyle w:val="Heading2"/>
      </w:pPr>
      <w:r>
        <w:t>Records and Documentation</w:t>
      </w:r>
    </w:p>
    <w:p>
      <w:r>
        <w:t xml:space="preserve">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w:t>
      </w:r>
    </w:p>
    <w:p>
      <w:pPr>
        <w:pStyle w:val="Heading2"/>
      </w:pPr>
      <w:r>
        <w:t>Frequently Asked Questions</w:t>
      </w:r>
    </w:p>
    <w:p>
      <w:r>
        <w:t xml:space="preserve">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w:t>
      </w:r>
    </w:p>
    <w:p>
      <w:pPr>
        <w:pStyle w:val="Heading2"/>
      </w:pPr>
      <w:r>
        <w:t>Revision History</w:t>
      </w:r>
    </w:p>
    <w:p>
      <w:r>
        <w:t xml:space="preserve">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w:t>
      </w:r>
    </w:p>
    <w:p>
      <w:pPr>
        <w:pStyle w:val="Heading2"/>
      </w:pPr>
      <w:r>
        <w:t>Acknowledgement</w:t>
      </w:r>
    </w:p>
    <w:p>
      <w:r>
        <w:t>Employees are responsible for reviewing this policy, complying with its requirements, participating in mandatory training, and consulting Human Resources whenever clarification is required.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