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Academic Integrity Policy</w:t>
      </w:r>
    </w:p>
    <w:p>
      <w:r>
        <w:t>Version 2.1 — Office of Academic Affairs</w:t>
      </w:r>
    </w:p>
    <w:p>
      <w:pPr>
        <w:pStyle w:val="Heading1"/>
      </w:pPr>
      <w:r>
        <w:t>1. Purpose</w:t>
      </w:r>
    </w:p>
    <w:p>
      <w:r>
        <w:t>This policy defines academic integrity violations and the process for reporting and resolving them.</w:t>
      </w:r>
    </w:p>
    <w:p>
      <w:pPr>
        <w:pStyle w:val="Heading1"/>
      </w:pPr>
      <w:r>
        <w:t>2. Prohibited Conduct</w:t>
      </w:r>
    </w:p>
    <w:p>
      <w:r>
        <w:t>Prohibited conduct includes plagiarism, unauthorized collaboration, fabrication of data or sources, and use of unauthorized materials during an examination.</w:t>
      </w:r>
    </w:p>
    <w:p>
      <w:pPr>
        <w:pStyle w:val="Heading1"/>
      </w:pPr>
      <w:r>
        <w:t>3. First Offense</w:t>
      </w:r>
    </w:p>
    <w:p>
      <w:r>
        <w:t>A first violation of academic integrity results in a zero on the assignment or exam and mandatory completion of an academic integrity workshop.</w:t>
      </w:r>
    </w:p>
    <w:p>
      <w:pPr>
        <w:pStyle w:val="Heading1"/>
      </w:pPr>
      <w:r>
        <w:t>4. Second Offense</w:t>
      </w:r>
    </w:p>
    <w:p>
      <w:r>
        <w:t>A second violation results in failure of the course and mandatory referral to the Student Conduct Office.</w:t>
      </w:r>
    </w:p>
    <w:p>
      <w:pPr>
        <w:pStyle w:val="Heading1"/>
      </w:pPr>
      <w:r>
        <w:t>5. Reporting</w:t>
      </w:r>
    </w:p>
    <w:p>
      <w:r>
        <w:t>An instructor who suspects a violation must submit a report to the Academic Integrity Office within 10 business days of discovery.</w:t>
      </w:r>
    </w:p>
    <w:p>
      <w:pPr>
        <w:pStyle w:val="Heading1"/>
      </w:pPr>
      <w:r>
        <w:t>6. Hearing Panel</w:t>
      </w:r>
    </w:p>
    <w:p>
      <w:r>
        <w:t>Contested academic integrity cases are heard by a three-member faculty panel appointed by the Provost's 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