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International Student Policy</w:t>
      </w:r>
    </w:p>
    <w:p>
      <w:r>
        <w:t>Version 1.2 — Office of International Student Services</w:t>
      </w:r>
    </w:p>
    <w:p>
      <w:pPr>
        <w:pStyle w:val="Heading1"/>
      </w:pPr>
      <w:r>
        <w:t>1. Purpose</w:t>
      </w:r>
    </w:p>
    <w:p>
      <w:r>
        <w:t>This policy governs immigration-status compliance and support services for international students.</w:t>
      </w:r>
    </w:p>
    <w:p>
      <w:pPr>
        <w:pStyle w:val="Heading1"/>
      </w:pPr>
      <w:r>
        <w:t>2. Full Course of Study</w:t>
      </w:r>
    </w:p>
    <w:p>
      <w:r>
        <w:t>F-1 international students must maintain enrollment in at least 12 credit hours per semester to remain in valid immigration status.</w:t>
      </w:r>
    </w:p>
    <w:p>
      <w:pPr>
        <w:pStyle w:val="Heading1"/>
      </w:pPr>
      <w:r>
        <w:t>3. Optional Practical Training</w:t>
      </w:r>
    </w:p>
    <w:p>
      <w:r>
        <w:t>Applications for Optional Practical Training (OPT) work authorization must be filed between 90 and 60 days before the program end date.</w:t>
      </w:r>
    </w:p>
    <w:p>
      <w:pPr>
        <w:pStyle w:val="Heading1"/>
      </w:pPr>
      <w:r>
        <w:t>4. Health Insurance</w:t>
      </w:r>
    </w:p>
    <w:p>
      <w:r>
        <w:t>International students are required to carry AFU-sponsored health insurance unless an equivalent-coverage waiver is approved.</w:t>
      </w:r>
    </w:p>
    <w:p>
      <w:pPr>
        <w:pStyle w:val="Heading1"/>
      </w:pPr>
      <w:r>
        <w:t>5. Change of Program</w:t>
      </w:r>
    </w:p>
    <w:p>
      <w:r>
        <w:t>A new Form I-20 must be issued within 15 days of a change in academic level or major.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