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Conduct and Disciplinary Policy</w:t>
      </w:r>
    </w:p>
    <w:p>
      <w:r>
        <w:t>Version 2.3 — Office of Student Conduct</w:t>
      </w:r>
    </w:p>
    <w:p>
      <w:pPr>
        <w:pStyle w:val="Heading1"/>
      </w:pPr>
      <w:r>
        <w:t>1. Purpose</w:t>
      </w:r>
    </w:p>
    <w:p>
      <w:r>
        <w:t>This policy governs the student disciplinary process for violations of the Code of Student Conduct.</w:t>
      </w:r>
    </w:p>
    <w:p>
      <w:pPr>
        <w:pStyle w:val="Heading1"/>
      </w:pPr>
      <w:r>
        <w:t>2. Disciplinary Stages</w:t>
      </w:r>
    </w:p>
    <w:p>
      <w:r>
        <w:t>The student disciplinary process proceeds through four stages: warning, disciplinary probation, suspension, and expulsion.</w:t>
      </w:r>
    </w:p>
    <w:p>
      <w:pPr>
        <w:pStyle w:val="Heading1"/>
      </w:pPr>
      <w:r>
        <w:t>3. Hearing Notice</w:t>
      </w:r>
    </w:p>
    <w:p>
      <w:r>
        <w:t>A student is given at least 5 business days' written notice before a disciplinary hearing.</w:t>
      </w:r>
    </w:p>
    <w:p>
      <w:pPr>
        <w:pStyle w:val="Heading1"/>
      </w:pPr>
      <w:r>
        <w:t>4. Classroom Recording Devices</w:t>
      </w:r>
    </w:p>
    <w:p>
      <w:r>
        <w:t>The use of personal recording devices to record lectures or classroom activity is prohibited without the instructor's prior written permission.</w:t>
      </w:r>
    </w:p>
    <w:p>
      <w:pPr>
        <w:pStyle w:val="Heading1"/>
      </w:pPr>
      <w:r>
        <w:t>5. Grade Appeals</w:t>
      </w:r>
    </w:p>
    <w:p>
      <w:r>
        <w:t>A student wishing to formally appeal a final grade must submit a written appeal within 10 business days of the grade being posted.</w:t>
      </w:r>
    </w:p>
    <w:p>
      <w:pPr>
        <w:pStyle w:val="Heading1"/>
      </w:pPr>
      <w:r>
        <w:t>6. Appeal of Sanctions</w:t>
      </w:r>
    </w:p>
    <w:p>
      <w:r>
        <w:t>A disciplinary sanction may be appealed in writing within 15 business days of the decision.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