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Manual normativo sintético para pruebas RAG</w:t>
        <w:br/>
        <w:t>GlobalFlow Logistics</w:t>
      </w:r>
    </w:p>
    <w:p>
      <w:pPr>
        <w:jc w:val="center"/>
      </w:pPr>
      <w:r>
        <w:rPr>
          <w:i/>
          <w:sz w:val="20"/>
        </w:rPr>
        <w:t>Material académico de apoyo para clasificación arancelaria asistida por LLM + RAG</w:t>
      </w:r>
    </w:p>
    <w:p>
      <w:r>
        <w:t>Advertencia: este documento es sintético y fue creado para experimentación, diseño de prompts y pruebas de recuperación contextual. No reemplaza normativa aduanera oficial.</w:t>
      </w:r>
    </w:p>
    <w:p>
      <w:pPr>
        <w:pStyle w:val="Heading1"/>
      </w:pPr>
      <w:r>
        <w:t>Objetivo del manual</w:t>
      </w:r>
    </w:p>
    <w:p>
      <w:r>
        <w:t>Este manual sintético define criterios operativos para apoyar la clasificación arancelaria en GlobalFlow Logistics. Su propósito es servir como corpus inicial para pruebas de recuperación contextual (RAG) y validación de respuestas generadas por modelos de lenguaje.</w:t>
      </w:r>
    </w:p>
    <w:p>
      <w:r>
        <w:t>El documento no reemplaza una normativa aduanera oficial. Debe utilizarse como material de entrenamiento, experimentación y construcción de prompts, junto con la base arancelaria estructurada y los casos históricos.</w:t>
      </w:r>
    </w:p>
    <w:p>
      <w:pPr>
        <w:pStyle w:val="Heading1"/>
      </w:pPr>
      <w:r>
        <w:t>Reglas generales de clasificación</w:t>
      </w:r>
    </w:p>
    <w:p>
      <w:r>
        <w:t>1. La clasificación debe basarse en la descripción real del producto y no únicamente en el nombre comercial informado en la factura.</w:t>
      </w:r>
    </w:p>
    <w:p>
      <w:r>
        <w:t>2. Cuando existan varias partidas posibles, debe preferirse la partida más específica frente a una partida residual o genérica.</w:t>
      </w:r>
    </w:p>
    <w:p>
      <w:r>
        <w:t>3. Si la descripción no indica atributos técnicos mínimos —por ejemplo material dominante, uso final, composición o grado de elaboración— el caso debe marcarse para revisión humana.</w:t>
      </w:r>
    </w:p>
    <w:p>
      <w:r>
        <w:t>4. Ninguna respuesta del sistema puede proponer códigos que no existan en la base arancelaria vigente de la organización.</w:t>
      </w:r>
    </w:p>
    <w:p>
      <w:r>
        <w:t>5. Toda propuesta automática debe incluir una justificación breve y referencia al fragmento normativo o caso histórico utilizado como evidencia.</w:t>
      </w:r>
    </w:p>
    <w:p>
      <w:pPr>
        <w:pStyle w:val="Heading1"/>
      </w:pPr>
      <w:r>
        <w:t>Criterios por categoría: alimentos</w:t>
      </w:r>
    </w:p>
    <w:p>
      <w:r>
        <w:t>Los alimentos frescos deben distinguirse de los procesados. Una fruta fresca no debe clasificarse en partidas de conservas, purés o jugos.</w:t>
      </w:r>
    </w:p>
    <w:p>
      <w:r>
        <w:t>Las preparaciones alimenticias residuales solo deben usarse cuando no exista una partida más específica según composición o presentación.</w:t>
      </w:r>
    </w:p>
    <w:p>
      <w:r>
        <w:t>En café, arroz y tomate procesado, el grado de elaboración modifica la clasificación y debe quedar explícito en la descripción.</w:t>
      </w:r>
    </w:p>
    <w:p>
      <w:pPr>
        <w:pStyle w:val="Heading1"/>
      </w:pPr>
      <w:r>
        <w:t>Criterios por categoría: plásticos</w:t>
      </w:r>
    </w:p>
    <w:p>
      <w:r>
        <w:t>Debe diferenciarse entre polímeros en formas primarias y artículos terminados de plástico. La sola mención del material no basta; se requiere conocer la forma comercial del producto.</w:t>
      </w:r>
    </w:p>
    <w:p>
      <w:r>
        <w:t>Las bolsas o sacos de polímero de etileno se distinguen de los artículos domésticos de plástico por su función principal. Si el producto se usa como recipiente de cocina reutilizable, se prioriza la clasificación de uso doméstico por sobre la de empaque liviano.</w:t>
      </w:r>
    </w:p>
    <w:p>
      <w:r>
        <w:t>Cuando existan refuerzos textiles o metálicos en tubos o mangueras, la clasificación debe revisarse con mayor detalle.</w:t>
      </w:r>
    </w:p>
    <w:p>
      <w:pPr>
        <w:pStyle w:val="Heading1"/>
      </w:pPr>
      <w:r>
        <w:t>Criterios por categoría: textiles y vestuario</w:t>
      </w:r>
    </w:p>
    <w:p>
      <w:r>
        <w:t>En textiles sin confeccionar, la composición de fibras, el tipo de tejido y el acabado (por ejemplo estampado) son atributos críticos.</w:t>
      </w:r>
    </w:p>
    <w:p>
      <w:r>
        <w:t>En vestuario, debe distinguirse entre tejido de punto y tejido plano, además de la composición principal y el público objetivo cuando la partida lo exija.</w:t>
      </w:r>
    </w:p>
    <w:p>
      <w:r>
        <w:t>Si una descripción menciona 't-shirt' o 'camiseta' y además indica algodón y confección de punto, normalmente la clasificación se orienta a camisetas de punto de algodón.</w:t>
      </w:r>
    </w:p>
    <w:p>
      <w:pPr>
        <w:pStyle w:val="Heading1"/>
      </w:pPr>
      <w:r>
        <w:t>Criterios por categoría: tecnología y electrónica</w:t>
      </w:r>
    </w:p>
    <w:p>
      <w:r>
        <w:t>Debe distinguirse entre equipo completo, parte o accesorio. Un computador portátil no se clasifica igual que una placa madre o un cargador.</w:t>
      </w:r>
    </w:p>
    <w:p>
      <w:r>
        <w:t>Los adaptadores y fuentes de poder se tratan como convertidores estáticos cuando su función principal es transformar corriente para alimentar otro equipo.</w:t>
      </w:r>
    </w:p>
    <w:p>
      <w:r>
        <w:t>En pantallas, es obligatorio distinguir monitor de televisor. Si la descripción no indica receptor de televisión o sintonizador, el caso debe revisarse antes de clasificarlo como televisor.</w:t>
      </w:r>
    </w:p>
    <w:p>
      <w:pPr>
        <w:pStyle w:val="Heading1"/>
      </w:pPr>
      <w:r>
        <w:t>Criterios por categoría: maquinaria y partes</w:t>
      </w:r>
    </w:p>
    <w:p>
      <w:r>
        <w:t>Para filtros de agua, debe aclararse si se trata del aparato completo o de un cartucho, insumo o repuesto.</w:t>
      </w:r>
    </w:p>
    <w:p>
      <w:r>
        <w:t>Las estructuras metálicas completas o prefabricadas se diferencian de perfiles o chapas simples según su grado de transformación y uso final.</w:t>
      </w:r>
    </w:p>
    <w:p>
      <w:pPr>
        <w:pStyle w:val="Heading1"/>
      </w:pPr>
      <w:r>
        <w:t>Reglas de validación y escalamiento</w:t>
      </w:r>
    </w:p>
    <w:p>
      <w:r>
        <w:t>El orquestador debe cerrar automáticamente solo los casos con confianza alta y evidencia suficiente en base arancelaria y contexto recuperado.</w:t>
      </w:r>
    </w:p>
    <w:p>
      <w:r>
        <w:t>Si la confianza es media o baja, o si el producto coincide con categorías de alto riesgo, debe activarse una segunda validación con RAG.</w:t>
      </w:r>
    </w:p>
    <w:p>
      <w:r>
        <w:t>Todo caso sin atributos suficientes, con conflicto entre fuentes o con código residual debe escalarse a revisión humana.</w:t>
      </w:r>
    </w:p>
    <w:p>
      <w:pPr>
        <w:pStyle w:val="Heading1"/>
      </w:pPr>
      <w:r>
        <w:t>Ejemplos de ambigüedad frecuente</w:t>
      </w:r>
    </w:p>
    <w:p>
      <w:r>
        <w:t>Descripción: 'set de recipientes plásticos'. Riesgo: puede confundirse con bolsas de empaque o con artículos domésticos. Atributo clave: uso final del producto.</w:t>
      </w:r>
    </w:p>
    <w:p>
      <w:r>
        <w:t>Descripción: 'monitor LED 27 pulgadas'. Riesgo: puede confundirse con televisor. Atributo clave: presencia o ausencia de sintonizador.</w:t>
      </w:r>
    </w:p>
    <w:p>
      <w:r>
        <w:t>Descripción: 'vitamina C en polvo'. Riesgo: puede confundirse con preparación alimenticia. Atributo clave: forma química, pureza y uso declarado.</w:t>
      </w:r>
    </w:p>
    <w:p>
      <w:pPr>
        <w:pStyle w:val="Heading1"/>
      </w:pPr>
      <w:r>
        <w:t>Tabla de umbrales de decisión sugeridos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t>Condición</w:t>
            </w:r>
          </w:p>
        </w:tc>
        <w:tc>
          <w:tcPr>
            <w:tcW w:type="dxa" w:w="2412"/>
            <w:vAlign w:val="center"/>
          </w:tcPr>
          <w:p>
            <w:r>
              <w:t>Acción</w:t>
            </w:r>
          </w:p>
        </w:tc>
        <w:tc>
          <w:tcPr>
            <w:tcW w:type="dxa" w:w="2412"/>
            <w:vAlign w:val="center"/>
          </w:tcPr>
          <w:p>
            <w:r>
              <w:t>Justificación</w:t>
            </w:r>
          </w:p>
        </w:tc>
        <w:tc>
          <w:tcPr>
            <w:tcW w:type="dxa" w:w="2412"/>
            <w:vAlign w:val="center"/>
          </w:tcPr>
          <w:p>
            <w:r>
              <w:t>Salida esperada</w:t>
            </w:r>
          </w:p>
        </w:tc>
      </w:tr>
      <w:tr>
        <w:tc>
          <w:tcPr>
            <w:tcW w:type="dxa" w:w="2412"/>
            <w:vAlign w:val="center"/>
          </w:tcPr>
          <w:p>
            <w:r>
              <w:t>Confianza alta + código válido + evidencia suficiente</w:t>
            </w:r>
          </w:p>
        </w:tc>
        <w:tc>
          <w:tcPr>
            <w:tcW w:type="dxa" w:w="2412"/>
            <w:vAlign w:val="center"/>
          </w:tcPr>
          <w:p>
            <w:r>
              <w:t>Cerrar caso automáticamente</w:t>
            </w:r>
          </w:p>
        </w:tc>
        <w:tc>
          <w:tcPr>
            <w:tcW w:type="dxa" w:w="2412"/>
            <w:vAlign w:val="center"/>
          </w:tcPr>
          <w:p>
            <w:r>
              <w:t>Reduce latencia en documentos simples</w:t>
            </w:r>
          </w:p>
        </w:tc>
        <w:tc>
          <w:tcPr>
            <w:tcW w:type="dxa" w:w="2412"/>
            <w:vAlign w:val="center"/>
          </w:tcPr>
          <w:p>
            <w:r>
              <w:t>codigo_final confirmado</w:t>
            </w:r>
          </w:p>
        </w:tc>
      </w:tr>
      <w:tr>
        <w:tc>
          <w:tcPr>
            <w:tcW w:type="dxa" w:w="2412"/>
            <w:vAlign w:val="center"/>
          </w:tcPr>
          <w:p>
            <w:r>
              <w:t>Confianza media o producto de riesgo alto</w:t>
            </w:r>
          </w:p>
        </w:tc>
        <w:tc>
          <w:tcPr>
            <w:tcW w:type="dxa" w:w="2412"/>
            <w:vAlign w:val="center"/>
          </w:tcPr>
          <w:p>
            <w:r>
              <w:t>Activar segunda validación con RAG</w:t>
            </w:r>
          </w:p>
        </w:tc>
        <w:tc>
          <w:tcPr>
            <w:tcW w:type="dxa" w:w="2412"/>
            <w:vAlign w:val="center"/>
          </w:tcPr>
          <w:p>
            <w:r>
              <w:t>Necesita contraste con normativa y casos</w:t>
            </w:r>
          </w:p>
        </w:tc>
        <w:tc>
          <w:tcPr>
            <w:tcW w:type="dxa" w:w="2412"/>
            <w:vAlign w:val="center"/>
          </w:tcPr>
          <w:p>
            <w:r>
              <w:t>codigo_validado o corregido</w:t>
            </w:r>
          </w:p>
        </w:tc>
      </w:tr>
      <w:tr>
        <w:tc>
          <w:tcPr>
            <w:tcW w:type="dxa" w:w="2412"/>
            <w:vAlign w:val="center"/>
          </w:tcPr>
          <w:p>
            <w:r>
              <w:t>Descripción ambigua o faltan atributos técnicos</w:t>
            </w:r>
          </w:p>
        </w:tc>
        <w:tc>
          <w:tcPr>
            <w:tcW w:type="dxa" w:w="2412"/>
            <w:vAlign w:val="center"/>
          </w:tcPr>
          <w:p>
            <w:r>
              <w:t>Escalar a revisión humana</w:t>
            </w:r>
          </w:p>
        </w:tc>
        <w:tc>
          <w:tcPr>
            <w:tcW w:type="dxa" w:w="2412"/>
            <w:vAlign w:val="center"/>
          </w:tcPr>
          <w:p>
            <w:r>
              <w:t>Evita alucinaciones y clasificaciones especulativas</w:t>
            </w:r>
          </w:p>
        </w:tc>
        <w:tc>
          <w:tcPr>
            <w:tcW w:type="dxa" w:w="2412"/>
            <w:vAlign w:val="center"/>
          </w:tcPr>
          <w:p>
            <w:r>
              <w:t>requiere_revision_humana</w:t>
            </w:r>
          </w:p>
        </w:tc>
      </w:tr>
    </w:tbl>
    <w:p>
      <w:pPr>
        <w:pStyle w:val="Heading1"/>
      </w:pPr>
      <w:r>
        <w:t>Mini set de consultas de prueba para recuperación</w:t>
      </w:r>
    </w:p>
    <w:p>
      <w:pPr>
        <w:pStyle w:val="ListBullet"/>
      </w:pPr>
      <w:r>
        <w:t>¿Cómo debería clasificarse un set de recipientes plásticos reutilizables para cocina?</w:t>
      </w:r>
    </w:p>
    <w:p>
      <w:pPr>
        <w:pStyle w:val="ListBullet"/>
      </w:pPr>
      <w:r>
        <w:t>¿Qué atributos faltan para decidir entre monitor y televisor?</w:t>
      </w:r>
    </w:p>
    <w:p>
      <w:pPr>
        <w:pStyle w:val="ListBullet"/>
      </w:pPr>
      <w:r>
        <w:t>¿Por qué vitamina C en polvo no debería ir a una partida alimenticia residual si existe una química más específica?</w:t>
      </w:r>
    </w:p>
    <w:p>
      <w:pPr>
        <w:pStyle w:val="ListBullet"/>
      </w:pPr>
      <w:r>
        <w:t>¿Qué datos técnicos son obligatorios para clasificar tejidos de algodón estampados?</w:t>
      </w:r>
    </w:p>
    <w:p>
      <w:pPr>
        <w:pStyle w:val="Heading1"/>
      </w:pPr>
      <w:r>
        <w:t>Uso sugerido dentro del pipeline</w:t>
      </w:r>
    </w:p>
    <w:p>
      <w:r>
        <w:t>1. Indexar este manual por fragmentos o chunks semánticos.</w:t>
      </w:r>
    </w:p>
    <w:p>
      <w:r>
        <w:t>2. Recuperar los 3 a 5 fragmentos más relevantes con base en la descripción del producto.</w:t>
      </w:r>
    </w:p>
    <w:p>
      <w:r>
        <w:t>3. Inyectar esos fragmentos en el prompt de validación, junto con candidatos de la base arancelaria.</w:t>
      </w:r>
    </w:p>
    <w:p>
      <w:r>
        <w:t>4. Si no hay evidencia suficiente, responder con revisión humana en vez de inventar un código.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