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Data Processing System 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Cover Page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|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Document title | `Citizen Incident Reporting System Data Processing System Description`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Intended use | `Internal governance record, registration support, and processor or regulator briefing`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Deployment context | `LGU-first pilot deployment of the CIRS API and connected services`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Organization | `[Insert LGU, office, or agency name]`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Prepared for | `DPO, system owner, technical owner, and approving authority`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Prepared by | `[Insert responsible officer or technical owner]`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Description date | `2026-04-30`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Version | `pilot-v1.0`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Issuance Note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document should describe the actual live processing configuration, not only the repository baseline. Update it when the deployed processor inventory, retention posture, hosting region, or automated processing changes.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document describes the personal-data processing system represented by the Citizen Incident Reporting System (CIRS) API repository.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It is intended to support pilot-stage compliance documentation, registration-stage review, and internal governance review.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Document Control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          | Value        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--------------- | -------------------------------------------------------------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Document owner  | System owner with DPO review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Confidentiality | Internal governance document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Status          | Pilot draft for internal approval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Source of truth | Actual deployed API behavior and approved processor inventory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Review trigger  | Any processing, hosting, data model, or automation change   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 System Identification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Name of system: `Citizen Incident Reporting System`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System type: `LGU-operated incident reporting, coordination, and privacy-governance support platform`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Repository scope: `Express 5 + TypeScript API with Prisma-backed PostgreSQL persistence`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Description date: `2026-04-30`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Prepared by: `Draft generated for repository owner review; replace with responsible officer or DPO name before formal use`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1.1 Processing context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repository supports a city-first or LGU-first operational deployment model. In production use, the operating LGU acts as the personal information controller for the live service, while third-party cloud, hosting, auth, storage, and monitoring services act as processors where applicable.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 Purpose Of Processing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system processes personal data to: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receive and manage citizen incident reports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authenticate and manage users, admins, responders, and reviewers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support assignment, dispatch, coordination, and incident follow-up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maintain audit, accountability, and security records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support data subject requests and privacy incident documentation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 Categories Of Data Subjects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system may process data relating to: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citizens or reporters using the service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barangay residents or city residents identified in an incident record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responders, dispatchers, admins, auditors, and reviewers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children or minors where they appear in an incident narrative, attachment, or affected-person context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other individuals referenced in operational narratives, supporting evidence, or privacy request records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 Types Of Personal Data Collected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Typical personal data handled by the system includes: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names, email addresses, mobile numbers, and account details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incident descriptions, locations, categories, statuses, and related communications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uploaded files, photos, videos, and other evidence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account and security metadata such as login activity, device or browser details, sessions, and password-reset records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privacy request details and incident documentation records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 Types Of Sensitive Personal Information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Depending on use, the system may handle data that is sensitive or high-risk in context, including: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photos or video content containing faces, minors, homes, injuries, or emergency context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exact or near-exact location tied to a person or incident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narratives that may imply health, violence, vulnerability, or family circumstances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identity-linked emergency or public safety records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Operational note: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Even when the formal legal category depends on the exact content, these fields should be treated as restricted and not as ordinary low-risk data.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 Retention Period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Retention must use specific periods and not indefinite storage.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Pilot baseline used by the repository governance pack: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Record class          | Retention period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--------------------- | ---------------------------------------------------------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Citizen accounts      | 3 years after account closure or last verified activity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Incident reports      | 7 years after final closure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Audit logs            | 3 years from event date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Data-subject requests | 5 years after final resolution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Privacy incidents     | 7 years after closure and completion of follow-up actions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These periods must be confirmed against the operating LGU's approved retention schedule before production use.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 Internal Access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Access may be granted internally only to authorized users on a need-to-know basis, including: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responders and dispatchers handling assigned incidents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city or LGU admins managing workflow and access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auditors and reviewers with approved oversight functions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DPO and privacy reviewers handling requests and incidents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technical operators with approved infrastructure or support duties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8. Third-Party Sharing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system may share or expose data to third parties only where required for operation and governance, including: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the operating LGU and its authorized departments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hosting providers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database providers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authentication providers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file or media storage providers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monitoring or alerting providers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email, SMS, or webhook delivery providers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All such third parties should be documented in the processor register and covered by appropriate contractual controls.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8.1 Minimum processor inventory fields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Each processor entry should include at least: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provider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processing function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hosting or processing region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contract owner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DPA or contract status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cross-border transfer assessment reference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9. Cross-Border Transfer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system may involve data transfers outside the Philippines where cloud infrastructure, database hosting, monitoring, or notification tools are located in foreign jurisdictions such as Singapore or the United States.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Where this applies, the operating LGU must: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document the hosting region and transfer path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assess the transfer basis and safeguards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record the provider in the processor register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ensure DPO and system-owner review before production use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10. Automated Decision-Making Or Profiling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Current pilot posture: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The repository is not documented as using automated decision-making or profiling as a formal production feature.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Forward-looking risk note: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If AI triage, prioritization, recommendation, routing, or profiling is introduced later, the system description, PIA, privacy notice, and lawful basis review must all be updated before the feature is enabled in production.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11. Security Measures In Place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system relies on layered technical and organizational safeguards, including: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authentication and session-security controls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optional MFA support for protected access paths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role-based and jurisdiction-scoped access control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audit logging for security-sensitive and mutating actions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rate limiting and abuse protection for exposed endpoints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privacy incident and breach-response documentation workflow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production fail-closed configuration checks for privacy and residency posture</w:t>
      </w:r>
    </w:p>
    <w:p>
      <w:pPr>
        <w:pStyle w:val="PreformattedText"/>
        <w:bidi w:val="0"/>
        <w:spacing w:before="0" w:after="0"/>
        <w:jc w:val="left"/>
        <w:rPr/>
      </w:pPr>
      <w:r>
        <w:rPr/>
        <w:t>8. retention and archive-aware governance controls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12. Related Documents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`docs/privacy-management-program.md`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`docs/privacy-impact-assessment-pilot.md`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`docs/lawful-basis-register.md`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`docs/privacy-governance-operations-guide.md`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`docs/privacy-incident-playbook.md`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`docs/public-privacy-notice-draft.md`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13. Review Trigger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Review this description whenever: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new categories of personal data are added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new data subjects or workflows are introduced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new processors or hosting regions are introduced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retention periods change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AI-assisted triage or profiling is added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a significant privacy incident reveals a documentation gap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14. Approval Record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Sign-off item | Name and title                                    | Signature or approval reference                          | Date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------------- | ------------------------------------------------- | -------------------------------------------------------- | ------------------------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Prepared by   | `[Insert responsible officer or technical owner]` | `[Insert signature, memo number, or approval reference]` | `2026-04-30`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Reviewed by   | `[Insert DPO or privacy reviewer]`                | `[Insert signature, memo number, or approval reference]` | `[Insert review date]`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Approved by   | `[Insert approving authority]`                    | `[Insert signature, memo number, or approval reference]` | `[Insert approval date]` |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