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line="240" w:lineRule="auto"/>
        <w:jc w:val="center"/>
      </w:pPr>
      <w:r>
        <w:t>Anonymous Reporting as a Public Safety and Governance Tool</w:t>
      </w:r>
    </w:p>
    <w:p>
      <w:pPr>
        <w:spacing w:before="0" w:after="80" w:line="240" w:lineRule="auto"/>
        <w:jc w:val="center"/>
      </w:pPr>
      <w:r>
        <w:rPr>
          <w:rFonts w:ascii="Aptos" w:hAnsi="Aptos"/>
          <w:b/>
          <w:sz w:val="18"/>
        </w:rPr>
        <w:t>Policy brief for Tuguegarao City local government review and investor due diligence</w:t>
      </w:r>
      <w:r>
        <w:rPr>
          <w:rFonts w:ascii="Aptos" w:hAnsi="Aptos"/>
          <w:b w:val="0"/>
          <w:sz w:val="18"/>
        </w:rPr>
        <w:t xml:space="preserve"> | Pre-pilot proposal stage | Cagayan Valley, Philippines</w:t>
      </w:r>
    </w:p>
    <w:tbl>
      <w:tblPr>
        <w:tblW w:type="auto" w:w="0"/>
        <w:jc w:val="center"/>
        <w:tblLayout w:type="autofit"/>
        <w:tblLook w:firstColumn="1" w:firstRow="1" w:lastColumn="0" w:lastRow="0" w:noHBand="0" w:noVBand="1" w:val="04A0"/>
        <w:tblBorders>
          <w:top w:val="single" w:sz="8" w:space="0" w:color="B4C7E7"/>
          <w:left w:val="single" w:sz="8" w:space="0" w:color="B4C7E7"/>
          <w:bottom w:val="single" w:sz="8" w:space="0" w:color="B4C7E7"/>
          <w:right w:val="single" w:sz="8" w:space="0" w:color="B4C7E7"/>
          <w:insideH w:val="single" w:sz="8" w:space="0" w:color="B4C7E7"/>
          <w:insideV w:val="single" w:sz="8" w:space="0" w:color="B4C7E7"/>
        </w:tblBorders>
      </w:tblPr>
      <w:tblGrid>
        <w:gridCol w:w="10656"/>
      </w:tblGrid>
      <w:tr>
        <w:tc>
          <w:tcPr>
            <w:tcW w:type="dxa" w:w="10656"/>
            <w:shd w:fill="EAF2F8"/>
          </w:tcPr>
          <w:p>
            <w:pPr>
              <w:spacing w:before="0" w:after="0" w:line="240" w:lineRule="auto"/>
            </w:pPr>
            <w:r/>
            <w:r>
              <w:rPr>
                <w:rFonts w:ascii="Aptos" w:hAnsi="Aptos"/>
                <w:b/>
                <w:sz w:val="18"/>
              </w:rPr>
              <w:t xml:space="preserve">Key takeaway: </w:t>
            </w:r>
            <w:r>
              <w:rPr>
                <w:rFonts w:ascii="Aptos" w:hAnsi="Aptos"/>
                <w:sz w:val="18"/>
              </w:rPr>
              <w:t>Anonymous reporting should be treated as an intelligence layer that helps local government see risks earlier, reach quieter communities, and act faster. It does not replace named complaints or formal case handling.</w:t>
            </w:r>
          </w:p>
        </w:tc>
      </w:tr>
    </w:tbl>
    <w:p>
      <w:pPr>
        <w:pStyle w:val="Heading1"/>
        <w:spacing w:before="80" w:after="40" w:line="240" w:lineRule="auto"/>
      </w:pPr>
      <w:r>
        <w:t>1. The Core Problem: The Chilling Effect</w:t>
      </w:r>
    </w:p>
    <w:p>
      <w:pPr>
        <w:spacing w:before="0" w:after="20" w:line="240" w:lineRule="auto"/>
      </w:pPr>
      <w:r>
        <w:rPr>
          <w:rFonts w:ascii="Aptos" w:hAnsi="Aptos"/>
          <w:sz w:val="18"/>
        </w:rPr>
        <w:t>In tight-knit communities such as Tuguegarao, many citizens stay silent when reporting could expose them to retaliation, embarrassment, political pressure, or conflict with neighbors and officials. Named-only systems therefore produce incomplete and biased data. The result is that the most important governance and public safety problems often never surface in time.</w:t>
      </w:r>
    </w:p>
    <w:p>
      <w:pPr>
        <w:pStyle w:val="Heading1"/>
        <w:spacing w:before="80" w:after="40" w:line="240" w:lineRule="auto"/>
      </w:pPr>
      <w:r>
        <w:t>2. What Local Government Gains</w:t>
      </w:r>
    </w:p>
    <w:tbl>
      <w:tblPr>
        <w:tblW w:type="auto" w:w="0"/>
        <w:jc w:val="center"/>
        <w:tblLayout w:type="autofit"/>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328"/>
        <w:gridCol w:w="5328"/>
      </w:tblGrid>
      <w:tr>
        <w:tc>
          <w:tcPr>
            <w:tcW w:type="dxa" w:w="5328"/>
            <w:vAlign w:val="center"/>
            <w:shd w:fill="F5F9FF"/>
          </w:tcPr>
          <w:p>
            <w:pPr>
              <w:spacing w:before="0" w:after="0" w:line="240" w:lineRule="auto"/>
            </w:pPr>
            <w:r/>
            <w:r>
              <w:rPr>
                <w:rFonts w:ascii="Aptos" w:hAnsi="Aptos"/>
                <w:b/>
                <w:sz w:val="18"/>
              </w:rPr>
              <w:t>Better coverage</w:t>
            </w:r>
          </w:p>
        </w:tc>
        <w:tc>
          <w:tcPr>
            <w:tcW w:type="dxa" w:w="5328"/>
            <w:vAlign w:val="center"/>
          </w:tcPr>
          <w:p>
            <w:pPr>
              <w:spacing w:before="0" w:after="0" w:line="240" w:lineRule="auto"/>
            </w:pPr>
            <w:r/>
            <w:r>
              <w:rPr>
                <w:rFonts w:ascii="Aptos" w:hAnsi="Aptos"/>
                <w:b w:val="0"/>
                <w:sz w:val="18"/>
              </w:rPr>
              <w:t>Higher report volume and stronger geographic coverage, including quieter or underserved barangays.</w:t>
            </w:r>
          </w:p>
        </w:tc>
      </w:tr>
      <w:tr>
        <w:tc>
          <w:tcPr>
            <w:tcW w:type="dxa" w:w="5328"/>
            <w:vAlign w:val="center"/>
            <w:shd w:fill="F5F9FF"/>
          </w:tcPr>
          <w:p>
            <w:pPr>
              <w:spacing w:before="0" w:after="0" w:line="240" w:lineRule="auto"/>
            </w:pPr>
            <w:r/>
            <w:r>
              <w:rPr>
                <w:rFonts w:ascii="Aptos" w:hAnsi="Aptos"/>
                <w:b/>
                <w:sz w:val="18"/>
              </w:rPr>
              <w:t>More honest complaints</w:t>
            </w:r>
          </w:p>
        </w:tc>
        <w:tc>
          <w:tcPr>
            <w:tcW w:type="dxa" w:w="5328"/>
            <w:vAlign w:val="center"/>
          </w:tcPr>
          <w:p>
            <w:pPr>
              <w:spacing w:before="0" w:after="0" w:line="240" w:lineRule="auto"/>
            </w:pPr>
            <w:r/>
            <w:r>
              <w:rPr>
                <w:rFonts w:ascii="Aptos" w:hAnsi="Aptos"/>
                <w:b w:val="0"/>
                <w:sz w:val="18"/>
              </w:rPr>
              <w:t>Sensitive issues involving officials, permits, misconduct, extortion, or local abuse are more likely to be reported.</w:t>
            </w:r>
          </w:p>
        </w:tc>
      </w:tr>
      <w:tr>
        <w:tc>
          <w:tcPr>
            <w:tcW w:type="dxa" w:w="5328"/>
            <w:vAlign w:val="center"/>
            <w:shd w:fill="F5F9FF"/>
          </w:tcPr>
          <w:p>
            <w:pPr>
              <w:spacing w:before="0" w:after="0" w:line="240" w:lineRule="auto"/>
            </w:pPr>
            <w:r/>
            <w:r>
              <w:rPr>
                <w:rFonts w:ascii="Aptos" w:hAnsi="Aptos"/>
                <w:b/>
                <w:sz w:val="18"/>
              </w:rPr>
              <w:t>Earlier warning</w:t>
            </w:r>
          </w:p>
        </w:tc>
        <w:tc>
          <w:tcPr>
            <w:tcW w:type="dxa" w:w="5328"/>
            <w:vAlign w:val="center"/>
          </w:tcPr>
          <w:p>
            <w:pPr>
              <w:spacing w:before="0" w:after="0" w:line="240" w:lineRule="auto"/>
            </w:pPr>
            <w:r/>
            <w:r>
              <w:rPr>
                <w:rFonts w:ascii="Aptos" w:hAnsi="Aptos"/>
                <w:b w:val="0"/>
                <w:sz w:val="18"/>
              </w:rPr>
              <w:t>Flooding, damaged infrastructure, service failures, and disaster risks surface earlier for inspection and response.</w:t>
            </w:r>
          </w:p>
        </w:tc>
      </w:tr>
      <w:tr>
        <w:tc>
          <w:tcPr>
            <w:tcW w:type="dxa" w:w="5328"/>
            <w:vAlign w:val="center"/>
            <w:shd w:fill="F5F9FF"/>
          </w:tcPr>
          <w:p>
            <w:pPr>
              <w:spacing w:before="0" w:after="0" w:line="240" w:lineRule="auto"/>
            </w:pPr>
            <w:r/>
            <w:r>
              <w:rPr>
                <w:rFonts w:ascii="Aptos" w:hAnsi="Aptos"/>
                <w:b/>
                <w:sz w:val="18"/>
              </w:rPr>
              <w:t>Stronger planning</w:t>
            </w:r>
          </w:p>
        </w:tc>
        <w:tc>
          <w:tcPr>
            <w:tcW w:type="dxa" w:w="5328"/>
            <w:vAlign w:val="center"/>
          </w:tcPr>
          <w:p>
            <w:pPr>
              <w:spacing w:before="0" w:after="0" w:line="240" w:lineRule="auto"/>
            </w:pPr>
            <w:r/>
            <w:r>
              <w:rPr>
                <w:rFonts w:ascii="Aptos" w:hAnsi="Aptos"/>
                <w:b w:val="0"/>
                <w:sz w:val="18"/>
              </w:rPr>
              <w:t>Ground-truth data improves budgeting, hotspot analysis, maintenance planning, and internal whistleblowing channels.</w:t>
            </w:r>
          </w:p>
        </w:tc>
      </w:tr>
    </w:tbl>
    <w:p>
      <w:pPr>
        <w:pStyle w:val="Heading1"/>
        <w:spacing w:before="80" w:after="40" w:line="240" w:lineRule="auto"/>
      </w:pPr>
      <w:r>
        <w:t>3. The Two-Tier Model</w:t>
      </w:r>
    </w:p>
    <w:tbl>
      <w:tblPr>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328"/>
        <w:gridCol w:w="5328"/>
      </w:tblGrid>
      <w:tr>
        <w:tc>
          <w:tcPr>
            <w:tcW w:type="dxa" w:w="5328"/>
            <w:vAlign w:val="center"/>
            <w:shd w:fill="1D3557"/>
          </w:tcPr>
          <w:p>
            <w:pPr>
              <w:spacing w:before="0" w:after="0" w:line="240" w:lineRule="auto"/>
            </w:pPr>
            <w:r/>
            <w:r>
              <w:rPr>
                <w:rFonts w:ascii="Aptos" w:hAnsi="Aptos"/>
                <w:b/>
                <w:color w:val="FFFFFF"/>
                <w:sz w:val="18"/>
              </w:rPr>
              <w:t>Reporting mode</w:t>
            </w:r>
          </w:p>
        </w:tc>
        <w:tc>
          <w:tcPr>
            <w:tcW w:type="dxa" w:w="5328"/>
            <w:vAlign w:val="center"/>
            <w:shd w:fill="1D3557"/>
          </w:tcPr>
          <w:p>
            <w:pPr>
              <w:spacing w:before="0" w:after="0" w:line="240" w:lineRule="auto"/>
            </w:pPr>
            <w:r/>
            <w:r>
              <w:rPr>
                <w:rFonts w:ascii="Aptos" w:hAnsi="Aptos"/>
                <w:b/>
                <w:color w:val="FFFFFF"/>
                <w:sz w:val="18"/>
              </w:rPr>
              <w:t>Role in the system</w:t>
            </w:r>
          </w:p>
        </w:tc>
      </w:tr>
      <w:tr>
        <w:tc>
          <w:tcPr>
            <w:tcW w:type="dxa" w:w="5328"/>
            <w:vAlign w:val="center"/>
            <w:shd w:fill="F5F9FF"/>
          </w:tcPr>
          <w:p>
            <w:pPr>
              <w:spacing w:before="0" w:after="0" w:line="240" w:lineRule="auto"/>
            </w:pPr>
            <w:r/>
            <w:r>
              <w:rPr>
                <w:rFonts w:ascii="Aptos" w:hAnsi="Aptos"/>
                <w:b/>
                <w:sz w:val="18"/>
              </w:rPr>
              <w:t>Anonymous</w:t>
            </w:r>
          </w:p>
        </w:tc>
        <w:tc>
          <w:tcPr>
            <w:tcW w:type="dxa" w:w="5328"/>
            <w:vAlign w:val="center"/>
          </w:tcPr>
          <w:p>
            <w:pPr>
              <w:spacing w:before="0" w:after="0" w:line="240" w:lineRule="auto"/>
            </w:pPr>
            <w:r/>
            <w:r>
              <w:rPr>
                <w:rFonts w:ascii="Aptos" w:hAnsi="Aptos"/>
                <w:b w:val="0"/>
                <w:sz w:val="18"/>
              </w:rPr>
              <w:t>Intelligence layer. Helps trigger inspection, verification, site visits, hotspot mapping, and early warning review.</w:t>
            </w:r>
          </w:p>
        </w:tc>
      </w:tr>
      <w:tr>
        <w:tc>
          <w:tcPr>
            <w:tcW w:type="dxa" w:w="5328"/>
            <w:vAlign w:val="center"/>
            <w:shd w:fill="F5F9FF"/>
          </w:tcPr>
          <w:p>
            <w:pPr>
              <w:spacing w:before="0" w:after="0" w:line="240" w:lineRule="auto"/>
            </w:pPr>
            <w:r/>
            <w:r>
              <w:rPr>
                <w:rFonts w:ascii="Aptos" w:hAnsi="Aptos"/>
                <w:b/>
                <w:sz w:val="18"/>
              </w:rPr>
              <w:t>Named</w:t>
            </w:r>
          </w:p>
        </w:tc>
        <w:tc>
          <w:tcPr>
            <w:tcW w:type="dxa" w:w="5328"/>
            <w:vAlign w:val="center"/>
          </w:tcPr>
          <w:p>
            <w:pPr>
              <w:spacing w:before="0" w:after="0" w:line="240" w:lineRule="auto"/>
            </w:pPr>
            <w:r/>
            <w:r>
              <w:rPr>
                <w:rFonts w:ascii="Aptos" w:hAnsi="Aptos"/>
                <w:b w:val="0"/>
                <w:sz w:val="18"/>
              </w:rPr>
              <w:t>Accountability layer. Supports formal investigation, due process, legal escalation, and documented case handling.</w:t>
            </w:r>
          </w:p>
        </w:tc>
      </w:tr>
    </w:tbl>
    <w:tbl>
      <w:tblPr>
        <w:tblW w:type="auto" w:w="0"/>
        <w:jc w:val="center"/>
        <w:tblLayout w:type="autofit"/>
        <w:tblLook w:firstColumn="1" w:firstRow="1" w:lastColumn="0" w:lastRow="0" w:noHBand="0" w:noVBand="1" w:val="04A0"/>
        <w:tblBorders>
          <w:top w:val="single" w:sz="8" w:space="0" w:color="B4C7E7"/>
          <w:left w:val="single" w:sz="8" w:space="0" w:color="B4C7E7"/>
          <w:bottom w:val="single" w:sz="8" w:space="0" w:color="B4C7E7"/>
          <w:right w:val="single" w:sz="8" w:space="0" w:color="B4C7E7"/>
          <w:insideH w:val="single" w:sz="8" w:space="0" w:color="B4C7E7"/>
          <w:insideV w:val="single" w:sz="8" w:space="0" w:color="B4C7E7"/>
        </w:tblBorders>
      </w:tblPr>
      <w:tblGrid>
        <w:gridCol w:w="10656"/>
      </w:tblGrid>
      <w:tr>
        <w:tc>
          <w:tcPr>
            <w:tcW w:type="dxa" w:w="10656"/>
            <w:shd w:fill="FFF4E5"/>
          </w:tcPr>
          <w:p>
            <w:pPr>
              <w:spacing w:before="0" w:after="0" w:line="240" w:lineRule="auto"/>
            </w:pPr>
            <w:r/>
            <w:r>
              <w:rPr>
                <w:rFonts w:ascii="Aptos" w:hAnsi="Aptos"/>
                <w:b/>
                <w:sz w:val="18"/>
              </w:rPr>
              <w:t xml:space="preserve">Practical framing for LGUs: </w:t>
            </w:r>
            <w:r>
              <w:rPr>
                <w:rFonts w:ascii="Aptos" w:hAnsi="Aptos"/>
                <w:sz w:val="18"/>
              </w:rPr>
              <w:t>Anonymous reporting feeds the formal system with better intelligence. It improves what government sees first; it does not on its own replace sworn complaints, case filing, or legal process.</w:t>
            </w:r>
          </w:p>
        </w:tc>
      </w:tr>
    </w:tbl>
    <w:p>
      <w:pPr>
        <w:pStyle w:val="Heading1"/>
        <w:spacing w:before="80" w:after="40" w:line="240" w:lineRule="auto"/>
      </w:pPr>
      <w:r>
        <w:t>4. Honest Tradeoffs</w:t>
      </w:r>
    </w:p>
    <w:p>
      <w:pPr>
        <w:spacing w:before="0" w:after="20" w:line="240" w:lineRule="auto"/>
      </w:pPr>
      <w:r>
        <w:rPr>
          <w:rFonts w:ascii="Aptos" w:hAnsi="Aptos"/>
          <w:sz w:val="18"/>
        </w:rPr>
        <w:t>Anonymous reporting is not a magic feature. Some reports will be incomplete. Follow-up is limited when contact details are absent. The noise-to-signal ratio is higher, so moderation and triage are required. Anonymous reports are not legal instruments and should not by themselves trigger formal case filing.</w:t>
      </w:r>
    </w:p>
    <w:p>
      <w:pPr>
        <w:spacing w:before="0" w:after="20" w:line="240" w:lineRule="auto"/>
      </w:pPr>
      <w:r>
        <w:rPr>
          <w:rFonts w:ascii="Aptos" w:hAnsi="Aptos"/>
          <w:sz w:val="18"/>
        </w:rPr>
        <w:t>Re-identification risk must be solved technically, not pushed back to the user. The design approach is to coarsen location to barangay level, strip Exchangeable Image File Format (EXIF) metadata from uploads, avoid stable device identifiers, and salt any anti-abuse fingerprints so they cannot be casually traced back to a person.</w:t>
      </w:r>
    </w:p>
    <w:p>
      <w:pPr>
        <w:pStyle w:val="Heading1"/>
        <w:spacing w:before="80" w:after="40" w:line="240" w:lineRule="auto"/>
      </w:pPr>
      <w:r>
        <w:t>5. Compliance Staging</w:t>
      </w:r>
    </w:p>
    <w:tbl>
      <w:tblPr>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552"/>
        <w:gridCol w:w="3552"/>
        <w:gridCol w:w="3552"/>
      </w:tblGrid>
      <w:tr>
        <w:tc>
          <w:tcPr>
            <w:tcW w:type="dxa" w:w="3552"/>
            <w:vAlign w:val="center"/>
            <w:shd w:fill="1D3557"/>
          </w:tcPr>
          <w:p>
            <w:pPr>
              <w:spacing w:before="0" w:after="0" w:line="240" w:lineRule="auto"/>
            </w:pPr>
            <w:r/>
            <w:r>
              <w:rPr>
                <w:rFonts w:ascii="Aptos" w:hAnsi="Aptos"/>
                <w:b/>
                <w:color w:val="FFFFFF"/>
                <w:sz w:val="18"/>
              </w:rPr>
              <w:t>Stage</w:t>
            </w:r>
          </w:p>
        </w:tc>
        <w:tc>
          <w:tcPr>
            <w:tcW w:type="dxa" w:w="3552"/>
            <w:vAlign w:val="center"/>
            <w:shd w:fill="1D3557"/>
          </w:tcPr>
          <w:p>
            <w:pPr>
              <w:spacing w:before="0" w:after="0" w:line="240" w:lineRule="auto"/>
            </w:pPr>
            <w:r/>
            <w:r>
              <w:rPr>
                <w:rFonts w:ascii="Aptos" w:hAnsi="Aptos"/>
                <w:b/>
                <w:color w:val="FFFFFF"/>
                <w:sz w:val="18"/>
              </w:rPr>
              <w:t>Reporting Mode</w:t>
            </w:r>
          </w:p>
        </w:tc>
        <w:tc>
          <w:tcPr>
            <w:tcW w:type="dxa" w:w="3552"/>
            <w:vAlign w:val="center"/>
            <w:shd w:fill="1D3557"/>
          </w:tcPr>
          <w:p>
            <w:pPr>
              <w:spacing w:before="0" w:after="0" w:line="240" w:lineRule="auto"/>
            </w:pPr>
            <w:r/>
            <w:r>
              <w:rPr>
                <w:rFonts w:ascii="Aptos" w:hAnsi="Aptos"/>
                <w:b/>
                <w:color w:val="FFFFFF"/>
                <w:sz w:val="18"/>
              </w:rPr>
              <w:t>Compliance Posture</w:t>
            </w:r>
          </w:p>
        </w:tc>
      </w:tr>
      <w:tr>
        <w:tc>
          <w:tcPr>
            <w:tcW w:type="dxa" w:w="3552"/>
            <w:vAlign w:val="center"/>
            <w:shd w:fill="F5F9FF"/>
          </w:tcPr>
          <w:p>
            <w:pPr>
              <w:spacing w:before="0" w:after="0" w:line="240" w:lineRule="auto"/>
            </w:pPr>
            <w:r/>
            <w:r>
              <w:rPr>
                <w:rFonts w:ascii="Aptos" w:hAnsi="Aptos"/>
                <w:b/>
                <w:sz w:val="17"/>
              </w:rPr>
              <w:t>Pilot stage (MOU)</w:t>
            </w:r>
          </w:p>
        </w:tc>
        <w:tc>
          <w:tcPr>
            <w:tcW w:type="dxa" w:w="3552"/>
            <w:vAlign w:val="center"/>
          </w:tcPr>
          <w:p>
            <w:pPr>
              <w:spacing w:before="0" w:after="0" w:line="240" w:lineRule="auto"/>
            </w:pPr>
            <w:r/>
            <w:r>
              <w:rPr>
                <w:rFonts w:ascii="Aptos" w:hAnsi="Aptos"/>
                <w:b w:val="0"/>
                <w:sz w:val="17"/>
              </w:rPr>
              <w:t>Named reporting only</w:t>
            </w:r>
          </w:p>
        </w:tc>
        <w:tc>
          <w:tcPr>
            <w:tcW w:type="dxa" w:w="3552"/>
            <w:vAlign w:val="center"/>
          </w:tcPr>
          <w:p>
            <w:pPr>
              <w:spacing w:before="0" w:after="0" w:line="240" w:lineRule="auto"/>
            </w:pPr>
            <w:r/>
            <w:r>
              <w:rPr>
                <w:rFonts w:ascii="Aptos" w:hAnsi="Aptos"/>
                <w:b w:val="0"/>
                <w:sz w:val="17"/>
              </w:rPr>
              <w:t>Consent-based Data Privacy Act compliance, standard National Privacy Commission registration, standard privacy notice, and baseline cyber controls aligned with the Department of Information and Communications Technology.</w:t>
            </w:r>
          </w:p>
        </w:tc>
      </w:tr>
      <w:tr>
        <w:tc>
          <w:tcPr>
            <w:tcW w:type="dxa" w:w="3552"/>
            <w:vAlign w:val="center"/>
            <w:shd w:fill="F5F9FF"/>
          </w:tcPr>
          <w:p>
            <w:pPr>
              <w:spacing w:before="0" w:after="0" w:line="240" w:lineRule="auto"/>
            </w:pPr>
            <w:r/>
            <w:r>
              <w:rPr>
                <w:rFonts w:ascii="Aptos" w:hAnsi="Aptos"/>
                <w:b/>
                <w:sz w:val="17"/>
              </w:rPr>
              <w:t>Phase 2 (LGU-triggered)</w:t>
            </w:r>
          </w:p>
        </w:tc>
        <w:tc>
          <w:tcPr>
            <w:tcW w:type="dxa" w:w="3552"/>
            <w:vAlign w:val="center"/>
          </w:tcPr>
          <w:p>
            <w:pPr>
              <w:spacing w:before="0" w:after="0" w:line="240" w:lineRule="auto"/>
            </w:pPr>
            <w:r/>
            <w:r>
              <w:rPr>
                <w:rFonts w:ascii="Aptos" w:hAnsi="Aptos"/>
                <w:b w:val="0"/>
                <w:sz w:val="17"/>
              </w:rPr>
              <w:t>Named + anonymous enabled</w:t>
            </w:r>
          </w:p>
        </w:tc>
        <w:tc>
          <w:tcPr>
            <w:tcW w:type="dxa" w:w="3552"/>
            <w:vAlign w:val="center"/>
          </w:tcPr>
          <w:p>
            <w:pPr>
              <w:spacing w:before="0" w:after="0" w:line="240" w:lineRule="auto"/>
            </w:pPr>
            <w:r/>
            <w:r>
              <w:rPr>
                <w:rFonts w:ascii="Aptos" w:hAnsi="Aptos"/>
                <w:b w:val="0"/>
                <w:sz w:val="17"/>
              </w:rPr>
              <w:t>Data processing system amendment filed within 20 days, legitimate interest assessment documented, updated privacy impact assessment activated, and anonymous-report safeguards switched on by configuration.</w:t>
            </w:r>
          </w:p>
        </w:tc>
      </w:tr>
    </w:tbl>
    <w:p>
      <w:pPr>
        <w:pStyle w:val="Heading1"/>
        <w:spacing w:before="80" w:after="40" w:line="240" w:lineRule="auto"/>
      </w:pPr>
      <w:r>
        <w:t>6. Why This Matters in Cagayan Valley</w:t>
      </w:r>
    </w:p>
    <w:p>
      <w:pPr>
        <w:spacing w:before="0" w:after="20" w:line="240" w:lineRule="auto"/>
      </w:pPr>
      <w:r>
        <w:rPr>
          <w:rFonts w:ascii="Aptos" w:hAnsi="Aptos"/>
          <w:sz w:val="18"/>
        </w:rPr>
        <w:t>Cagayan Valley faces recurring typhoon pressure, flooding, infrastructure gaps, and remote barangay access constraints. In those same conditions, citizens in underserved areas are also the most likely to self-censor on named platforms. Anonymous early warning is therefore not only a governance feature. It is a direct public safety tool for surfacing blocked drainage, unsafe roads, delayed relief, weak response performance, and quiet local failures before they become larger emergencies.</w:t>
      </w:r>
    </w:p>
    <w:p>
      <w:pPr>
        <w:pStyle w:val="Heading1"/>
        <w:spacing w:before="80" w:after="40" w:line="240" w:lineRule="auto"/>
      </w:pPr>
      <w:r>
        <w:t>7. Additional Features Worth Including Later</w:t>
      </w:r>
    </w:p>
    <w:tbl>
      <w:tblPr>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328"/>
        <w:gridCol w:w="5328"/>
      </w:tblGrid>
      <w:tr>
        <w:tc>
          <w:tcPr>
            <w:tcW w:type="dxa" w:w="5328"/>
            <w:vAlign w:val="center"/>
            <w:shd w:fill="F5F9FF"/>
          </w:tcPr>
          <w:p>
            <w:pPr>
              <w:spacing w:before="0" w:after="0" w:line="240" w:lineRule="auto"/>
            </w:pPr>
            <w:r/>
            <w:r>
              <w:rPr>
                <w:rFonts w:ascii="Aptos" w:hAnsi="Aptos"/>
                <w:b/>
                <w:sz w:val="17"/>
              </w:rPr>
              <w:t>Offline-first capture</w:t>
            </w:r>
          </w:p>
        </w:tc>
        <w:tc>
          <w:tcPr>
            <w:tcW w:type="dxa" w:w="5328"/>
            <w:vAlign w:val="center"/>
          </w:tcPr>
          <w:p>
            <w:pPr>
              <w:spacing w:before="0" w:after="0" w:line="240" w:lineRule="auto"/>
            </w:pPr>
            <w:r/>
            <w:r>
              <w:rPr>
                <w:rFonts w:ascii="Aptos" w:hAnsi="Aptos"/>
                <w:b w:val="0"/>
                <w:sz w:val="17"/>
              </w:rPr>
              <w:t>Allows residents to record reports during outages or weak signal and sync them once connectivity returns.</w:t>
            </w:r>
          </w:p>
        </w:tc>
      </w:tr>
      <w:tr>
        <w:tc>
          <w:tcPr>
            <w:tcW w:type="dxa" w:w="5328"/>
            <w:vAlign w:val="center"/>
            <w:shd w:fill="F5F9FF"/>
          </w:tcPr>
          <w:p>
            <w:pPr>
              <w:spacing w:before="0" w:after="0" w:line="240" w:lineRule="auto"/>
            </w:pPr>
            <w:r/>
            <w:r>
              <w:rPr>
                <w:rFonts w:ascii="Aptos" w:hAnsi="Aptos"/>
                <w:b/>
                <w:sz w:val="17"/>
              </w:rPr>
              <w:t>Future mesh networking option</w:t>
            </w:r>
          </w:p>
        </w:tc>
        <w:tc>
          <w:tcPr>
            <w:tcW w:type="dxa" w:w="5328"/>
            <w:vAlign w:val="center"/>
          </w:tcPr>
          <w:p>
            <w:pPr>
              <w:spacing w:before="0" w:after="0" w:line="240" w:lineRule="auto"/>
            </w:pPr>
            <w:r/>
            <w:r>
              <w:rPr>
                <w:rFonts w:ascii="Aptos" w:hAnsi="Aptos"/>
                <w:b w:val="0"/>
                <w:sz w:val="17"/>
              </w:rPr>
              <w:t>Can help move alerts out of connectivity-poor areas later, but should remain disabled until the LGU asks for it and governance rules are agreed.</w:t>
            </w:r>
          </w:p>
        </w:tc>
      </w:tr>
      <w:tr>
        <w:tc>
          <w:tcPr>
            <w:tcW w:type="dxa" w:w="5328"/>
            <w:vAlign w:val="center"/>
            <w:shd w:fill="F5F9FF"/>
          </w:tcPr>
          <w:p>
            <w:pPr>
              <w:spacing w:before="0" w:after="0" w:line="240" w:lineRule="auto"/>
            </w:pPr>
            <w:r/>
            <w:r>
              <w:rPr>
                <w:rFonts w:ascii="Aptos" w:hAnsi="Aptos"/>
                <w:b/>
                <w:sz w:val="17"/>
              </w:rPr>
              <w:t>Safety filters and clustering</w:t>
            </w:r>
          </w:p>
        </w:tc>
        <w:tc>
          <w:tcPr>
            <w:tcW w:type="dxa" w:w="5328"/>
            <w:vAlign w:val="center"/>
          </w:tcPr>
          <w:p>
            <w:pPr>
              <w:spacing w:before="0" w:after="0" w:line="240" w:lineRule="auto"/>
            </w:pPr>
            <w:r/>
            <w:r>
              <w:rPr>
                <w:rFonts w:ascii="Aptos" w:hAnsi="Aptos"/>
                <w:b w:val="0"/>
                <w:sz w:val="17"/>
              </w:rPr>
              <w:t>Duplicate detection, credibility scoring, barangay heatmaps, and moderation queues help keep anonymous channels useful and manageable.</w:t>
            </w:r>
          </w:p>
        </w:tc>
      </w:tr>
    </w:tbl>
    <w:tbl>
      <w:tblPr>
        <w:tblW w:type="auto" w:w="0"/>
        <w:jc w:val="center"/>
        <w:tblLayout w:type="autofit"/>
        <w:tblLook w:firstColumn="1" w:firstRow="1" w:lastColumn="0" w:lastRow="0" w:noHBand="0" w:noVBand="1" w:val="04A0"/>
        <w:tblBorders>
          <w:top w:val="single" w:sz="8" w:space="0" w:color="B4C7E7"/>
          <w:left w:val="single" w:sz="8" w:space="0" w:color="B4C7E7"/>
          <w:bottom w:val="single" w:sz="8" w:space="0" w:color="B4C7E7"/>
          <w:right w:val="single" w:sz="8" w:space="0" w:color="B4C7E7"/>
          <w:insideH w:val="single" w:sz="8" w:space="0" w:color="B4C7E7"/>
          <w:insideV w:val="single" w:sz="8" w:space="0" w:color="B4C7E7"/>
        </w:tblBorders>
      </w:tblPr>
      <w:tblGrid>
        <w:gridCol w:w="10656"/>
      </w:tblGrid>
      <w:tr>
        <w:tc>
          <w:tcPr>
            <w:tcW w:type="dxa" w:w="10656"/>
            <w:shd w:fill="EAF7EA"/>
          </w:tcPr>
          <w:p>
            <w:pPr>
              <w:spacing w:before="0" w:after="0" w:line="240" w:lineRule="auto"/>
            </w:pPr>
            <w:r/>
            <w:r>
              <w:rPr>
                <w:rFonts w:ascii="Aptos" w:hAnsi="Aptos"/>
                <w:b/>
                <w:sz w:val="18"/>
              </w:rPr>
              <w:t xml:space="preserve">Bottom line: </w:t>
            </w:r>
            <w:r>
              <w:rPr>
                <w:rFonts w:ascii="Aptos" w:hAnsi="Aptos"/>
                <w:sz w:val="18"/>
              </w:rPr>
              <w:t>For Tuguegarao City, anonymous reporting is best introduced as a controlled upgrade after pilot approval. This keeps the first deployment simple while preserving a credible path to stronger public safety intelligence, community trust, and regional expansion.</w:t>
            </w:r>
          </w:p>
        </w:tc>
      </w:tr>
    </w:tbl>
    <w:p>
      <w:pPr>
        <w:pStyle w:val="Heading1"/>
        <w:spacing w:before="80" w:after="40" w:line="240" w:lineRule="auto"/>
      </w:pPr>
      <w:r>
        <w:t>8. Closing Note</w:t>
      </w:r>
    </w:p>
    <w:p>
      <w:pPr>
        <w:spacing w:before="0" w:after="20" w:line="240" w:lineRule="auto"/>
      </w:pPr>
      <w:r>
        <w:rPr>
          <w:rFonts w:ascii="Aptos" w:hAnsi="Aptos"/>
          <w:sz w:val="18"/>
        </w:rPr>
        <w:t>This brief is intended for local government review and investor due diligence. Detailed technical specifications, Data Privacy Act compliance materials, privacy impact assessment documents, and security architecture notes are available on request.</w:t>
      </w:r>
    </w:p>
    <w:sectPr w:rsidR="00FC693F" w:rsidRPr="0006063C" w:rsidSect="00034616">
      <w:headerReference w:type="default" r:id="rId9"/>
      <w:footerReference w:type="default" r:id="rId10"/>
      <w:pgSz w:w="12240" w:h="15840"/>
      <w:pgMar w:top="648" w:right="792" w:bottom="648" w:left="792"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i/>
        <w:color w:val="595959"/>
        <w:sz w:val="16"/>
      </w:rPr>
      <w:t>Confidential — For LGU and Investor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1D3557"/>
        <w:sz w:val="17"/>
      </w:rPr>
      <w:t>Citizen Incident Reporting System (CIRS) | Anonymous Reporting Policy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D3557"/>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C3E5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