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B1EC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CE6760">
        <w:rPr>
          <w:rFonts w:ascii="Arial" w:hAnsi="Arial" w:cs="Arial"/>
          <w:b/>
          <w:bCs/>
          <w:noProof/>
        </w:rPr>
        <w:drawing>
          <wp:inline distT="0" distB="0" distL="0" distR="0" wp14:anchorId="41F5A0B2" wp14:editId="07229A72">
            <wp:extent cx="5943600" cy="3221990"/>
            <wp:effectExtent l="0" t="0" r="0" b="0"/>
            <wp:docPr id="1069625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5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97AD" w14:textId="71B0997B" w:rsidR="000D2C8D" w:rsidRPr="00CE6760" w:rsidRDefault="000D2C8D" w:rsidP="00CE6760">
      <w:pPr>
        <w:spacing w:line="360" w:lineRule="auto"/>
        <w:jc w:val="center"/>
        <w:rPr>
          <w:rFonts w:ascii="Arial" w:hAnsi="Arial" w:cs="Arial"/>
        </w:rPr>
      </w:pPr>
      <w:r w:rsidRPr="00CE6760">
        <w:rPr>
          <w:rFonts w:ascii="Arial" w:hAnsi="Arial" w:cs="Arial"/>
          <w:b/>
          <w:bCs/>
        </w:rPr>
        <w:t xml:space="preserve">PREDICCIÓN DE INCUMPLIMIENTO DE PAGO EN TARJETAS DE CRÉDITO MEDIANTE </w:t>
      </w:r>
      <w:r w:rsidR="00CE6760">
        <w:rPr>
          <w:rFonts w:ascii="Arial" w:hAnsi="Arial" w:cs="Arial"/>
          <w:b/>
          <w:bCs/>
        </w:rPr>
        <w:t xml:space="preserve">DOS MODELOS DE </w:t>
      </w:r>
      <w:r w:rsidRPr="00CE6760">
        <w:rPr>
          <w:rFonts w:ascii="Arial" w:hAnsi="Arial" w:cs="Arial"/>
          <w:b/>
          <w:bCs/>
        </w:rPr>
        <w:t>MACHINE LEARNING</w:t>
      </w:r>
    </w:p>
    <w:p w14:paraId="5014CC18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8E6A57C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3676E0C" w14:textId="77777777" w:rsidR="000D2C8D" w:rsidRPr="00CE6760" w:rsidRDefault="000D2C8D" w:rsidP="00CE6760">
      <w:pPr>
        <w:spacing w:line="360" w:lineRule="auto"/>
        <w:jc w:val="center"/>
        <w:rPr>
          <w:rFonts w:ascii="Arial" w:hAnsi="Arial" w:cs="Arial"/>
        </w:rPr>
      </w:pPr>
      <w:r w:rsidRPr="00CE6760">
        <w:rPr>
          <w:rFonts w:ascii="Arial" w:hAnsi="Arial" w:cs="Arial"/>
          <w:b/>
          <w:bCs/>
        </w:rPr>
        <w:t>Nombre del autor: Jonathan Ruiz Ordoñez</w:t>
      </w:r>
      <w:r w:rsidRPr="00CE6760">
        <w:rPr>
          <w:rFonts w:ascii="Arial" w:hAnsi="Arial" w:cs="Arial"/>
        </w:rPr>
        <w:br/>
      </w:r>
      <w:r w:rsidRPr="00CE6760">
        <w:rPr>
          <w:rFonts w:ascii="Arial" w:hAnsi="Arial" w:cs="Arial"/>
          <w:b/>
          <w:bCs/>
        </w:rPr>
        <w:t>Fecha de presentación: 11 de diciembre de 2025</w:t>
      </w:r>
    </w:p>
    <w:p w14:paraId="64A280E5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F0AD8CE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1DB1CEF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E32F28E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8ED9C84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0AFD607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82D492C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783D6A8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4493AD3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C333E60" w14:textId="77777777" w:rsidR="000D2C8D" w:rsidRPr="00CE6760" w:rsidRDefault="000D2C8D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27BB036" w14:textId="1E26BA75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Resumen</w:t>
      </w:r>
    </w:p>
    <w:p w14:paraId="4E23E833" w14:textId="34258276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Este proyecto aplica técnicas de machine learning supervisado para predecir el incumplimiento de pago (default) en el siguiente mes, utilizando </w:t>
      </w:r>
      <w:r w:rsidR="00635F71" w:rsidRPr="00DD5D57">
        <w:rPr>
          <w:rFonts w:ascii="Arial" w:hAnsi="Arial" w:cs="Arial"/>
        </w:rPr>
        <w:t>el</w:t>
      </w:r>
      <w:r w:rsidRPr="005061EE">
        <w:rPr>
          <w:rFonts w:ascii="Arial" w:hAnsi="Arial" w:cs="Arial"/>
        </w:rPr>
        <w:t xml:space="preserve"> UCI Credit Card</w:t>
      </w:r>
      <w:r w:rsidR="00635F71" w:rsidRPr="00DD5D57">
        <w:rPr>
          <w:rFonts w:ascii="Arial" w:hAnsi="Arial" w:cs="Arial"/>
        </w:rPr>
        <w:t xml:space="preserve"> Dataset</w:t>
      </w:r>
      <w:r w:rsidRPr="005061EE">
        <w:rPr>
          <w:rFonts w:ascii="Arial" w:hAnsi="Arial" w:cs="Arial"/>
        </w:rPr>
        <w:t>, que contiene información de 30,000 clientes de una institución financiera. Se desarrollan y comparan dos modelos</w:t>
      </w:r>
      <w:r w:rsidRPr="00DD5D57">
        <w:rPr>
          <w:rFonts w:ascii="Arial" w:hAnsi="Arial" w:cs="Arial"/>
        </w:rPr>
        <w:t xml:space="preserve">. Por un </w:t>
      </w:r>
      <w:r w:rsidR="003C45BA" w:rsidRPr="00DD5D57">
        <w:rPr>
          <w:rFonts w:ascii="Arial" w:hAnsi="Arial" w:cs="Arial"/>
        </w:rPr>
        <w:t>lado,</w:t>
      </w:r>
      <w:r w:rsidRPr="00DD5D57">
        <w:rPr>
          <w:rFonts w:ascii="Arial" w:hAnsi="Arial" w:cs="Arial"/>
        </w:rPr>
        <w:t xml:space="preserve"> una</w:t>
      </w:r>
      <w:r w:rsidRPr="005061EE">
        <w:rPr>
          <w:rFonts w:ascii="Arial" w:hAnsi="Arial" w:cs="Arial"/>
        </w:rPr>
        <w:t xml:space="preserve"> Regresión Logística y </w:t>
      </w:r>
      <w:r w:rsidRPr="00DD5D57">
        <w:rPr>
          <w:rFonts w:ascii="Arial" w:hAnsi="Arial" w:cs="Arial"/>
        </w:rPr>
        <w:t xml:space="preserve">también un modelo de </w:t>
      </w:r>
      <w:r w:rsidRPr="005061EE">
        <w:rPr>
          <w:rFonts w:ascii="Arial" w:hAnsi="Arial" w:cs="Arial"/>
        </w:rPr>
        <w:t xml:space="preserve">Árbol de Decisiones, evaluados bajo métricas robustas para problemas desbalanceados (F1-Score, ROC-AUC). Tras un exhaustivo preprocesamiento incluyendo limpieza de variables categóricas, creación de características derivadas (AVG_PAY_DELAY, UTILIZATION_RATIO) y manejo de desbalance mediante class_weight='balanced'— el </w:t>
      </w:r>
      <w:r w:rsidR="0095529E" w:rsidRPr="00DD5D57">
        <w:rPr>
          <w:rFonts w:ascii="Arial" w:hAnsi="Arial" w:cs="Arial"/>
          <w:b/>
          <w:bCs/>
        </w:rPr>
        <w:t xml:space="preserve">El </w:t>
      </w:r>
      <w:r w:rsidR="0095529E" w:rsidRPr="00DD5D57">
        <w:rPr>
          <w:rFonts w:ascii="Arial" w:hAnsi="Arial" w:cs="Arial"/>
        </w:rPr>
        <w:t xml:space="preserve">Árbol de Decisiones se selecciona como modelo final, con un F1-Score de 0.5189 y ROC-AUC de 0.7580, valores dentro del rango reportado en la literatura para modelos de scoring en tarjetas de crédito (AUC 0.70–0.78; </w:t>
      </w:r>
      <w:r w:rsidR="00012EC4">
        <w:rPr>
          <w:rFonts w:ascii="Arial" w:hAnsi="Arial" w:cs="Arial"/>
        </w:rPr>
        <w:t>(</w:t>
      </w:r>
      <w:r w:rsidR="0095529E" w:rsidRPr="00DD5D57">
        <w:rPr>
          <w:rFonts w:ascii="Arial" w:hAnsi="Arial" w:cs="Arial"/>
        </w:rPr>
        <w:t xml:space="preserve">Baesens et al., 2003). Este desempeño supera al de la Regresión Logística (F1-Score = 0.5065, ROC-AUC = 0.7434), especialmente en las métricas prioritarias para problemas desbalanceados (F1-Score y AUC). El análisis de importancia de variables y coeficientes confirma que el </w:t>
      </w:r>
      <w:r w:rsidR="0095529E" w:rsidRPr="00DD5D57">
        <w:rPr>
          <w:rFonts w:ascii="Arial" w:hAnsi="Arial" w:cs="Arial"/>
          <w:b/>
          <w:bCs/>
        </w:rPr>
        <w:t>retraso promedio en pagos</w:t>
      </w:r>
      <w:r w:rsidR="0095529E" w:rsidRPr="00DD5D57">
        <w:rPr>
          <w:rFonts w:ascii="Arial" w:hAnsi="Arial" w:cs="Arial"/>
        </w:rPr>
        <w:t xml:space="preserve"> (AVG_PAY_DELAY) y el estado de pago más reciente (PAY_0) son los predictores más influyentes, hallazgos consistentes con la práctica crediticia y que respaldan su uso en sistemas de scoring automatizados.</w:t>
      </w:r>
    </w:p>
    <w:p w14:paraId="528FCB89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pict w14:anchorId="24F8652F">
          <v:rect id="_x0000_i1097" style="width:0;height:1.5pt" o:hralign="center" o:hrstd="t" o:hr="t" fillcolor="#a0a0a0" stroked="f"/>
        </w:pict>
      </w:r>
    </w:p>
    <w:p w14:paraId="71802CE5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1. Introducción</w:t>
      </w:r>
    </w:p>
    <w:p w14:paraId="5D473D22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1.1. Contexto del proyecto</w:t>
      </w:r>
    </w:p>
    <w:p w14:paraId="11012994" w14:textId="180F80DE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El sector financiero enfrenta desafíos significativos derivados del incumplimiento de pago en productos de crédito, lo que impacta directamente en la rentabilidad y estabilidad de las instituciones. La capacidad de anticipar estos eventos permite diseñar estrategias preventivas, como planes de reestructura de deuda o ajustes en</w:t>
      </w:r>
      <w:r w:rsidRPr="00CE6760">
        <w:rPr>
          <w:rFonts w:ascii="Arial" w:hAnsi="Arial" w:cs="Arial"/>
        </w:rPr>
        <w:t xml:space="preserve"> los</w:t>
      </w:r>
      <w:r w:rsidRPr="005061EE">
        <w:rPr>
          <w:rFonts w:ascii="Arial" w:hAnsi="Arial" w:cs="Arial"/>
        </w:rPr>
        <w:t xml:space="preserve"> límites de crédito, reduciendo la exposición al riesgo.</w:t>
      </w:r>
    </w:p>
    <w:p w14:paraId="74A4DFA4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lastRenderedPageBreak/>
        <w:t xml:space="preserve">El </w:t>
      </w:r>
      <w:r w:rsidRPr="005061EE">
        <w:rPr>
          <w:rFonts w:ascii="Arial" w:hAnsi="Arial" w:cs="Arial"/>
          <w:i/>
          <w:iCs/>
        </w:rPr>
        <w:t>UCI Credit Card Dataset</w:t>
      </w:r>
      <w:r w:rsidRPr="005061EE">
        <w:rPr>
          <w:rFonts w:ascii="Arial" w:hAnsi="Arial" w:cs="Arial"/>
        </w:rPr>
        <w:t xml:space="preserve"> proporciona un escenario realista para este análisis, con 30,000 observaciones y 25 variables, incluyendo:</w:t>
      </w:r>
    </w:p>
    <w:p w14:paraId="74247E5A" w14:textId="77777777" w:rsidR="005061EE" w:rsidRPr="005061EE" w:rsidRDefault="005061EE" w:rsidP="00CE6760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Demográficas</w:t>
      </w:r>
      <w:r w:rsidRPr="005061EE">
        <w:rPr>
          <w:rFonts w:ascii="Arial" w:hAnsi="Arial" w:cs="Arial"/>
        </w:rPr>
        <w:t>: edad (AGE), género (SEX), nivel educativo (EDUCATION), estado civil (MARRIAGE).</w:t>
      </w:r>
    </w:p>
    <w:p w14:paraId="37103290" w14:textId="77777777" w:rsidR="005061EE" w:rsidRPr="005061EE" w:rsidRDefault="005061EE" w:rsidP="00CE6760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Financieras</w:t>
      </w:r>
      <w:r w:rsidRPr="005061EE">
        <w:rPr>
          <w:rFonts w:ascii="Arial" w:hAnsi="Arial" w:cs="Arial"/>
        </w:rPr>
        <w:t>: límite de crédito (LIMIT_BAL), montos facturados (BILL_AMT1–6), montos pagados (PAY_AMT1–6).</w:t>
      </w:r>
    </w:p>
    <w:p w14:paraId="03709F80" w14:textId="77777777" w:rsidR="005061EE" w:rsidRPr="005061EE" w:rsidRDefault="005061EE" w:rsidP="00CE6760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De comportamiento</w:t>
      </w:r>
      <w:r w:rsidRPr="005061EE">
        <w:rPr>
          <w:rFonts w:ascii="Arial" w:hAnsi="Arial" w:cs="Arial"/>
        </w:rPr>
        <w:t>: historial de pagos (PAY_0 a PAY_6), donde valores positivos indican meses de retraso.</w:t>
      </w:r>
    </w:p>
    <w:p w14:paraId="12A3952B" w14:textId="77777777" w:rsidR="005061EE" w:rsidRPr="005061EE" w:rsidRDefault="005061EE" w:rsidP="00CE6760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Variable objetivo</w:t>
      </w:r>
      <w:r w:rsidRPr="005061EE">
        <w:rPr>
          <w:rFonts w:ascii="Arial" w:hAnsi="Arial" w:cs="Arial"/>
        </w:rPr>
        <w:t>: default.payment.next.month (renombrada como DEFAULT), binaria (1 = incumplió, 0 = no incumplió).</w:t>
      </w:r>
    </w:p>
    <w:p w14:paraId="289E57C8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La tasa de incumplimiento observada es del </w:t>
      </w:r>
      <w:r w:rsidRPr="005061EE">
        <w:rPr>
          <w:rFonts w:ascii="Arial" w:hAnsi="Arial" w:cs="Arial"/>
          <w:b/>
          <w:bCs/>
        </w:rPr>
        <w:t>22.1%</w:t>
      </w:r>
      <w:r w:rsidRPr="005061EE">
        <w:rPr>
          <w:rFonts w:ascii="Arial" w:hAnsi="Arial" w:cs="Arial"/>
        </w:rPr>
        <w:t xml:space="preserve"> (6,636 de 30,000 clientes), configurando un problema claramente desbalanceado.</w:t>
      </w:r>
    </w:p>
    <w:p w14:paraId="5D9A603B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1.2. Planteamiento del problema</w:t>
      </w:r>
    </w:p>
    <w:p w14:paraId="066AA9B4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¿Cómo construir un modelo predictivo que, utilizando únicamente información histórica disponible al cierre del mes actual, identifique con alta sensibilidad y precisión equilibrada a los clientes que incumplirán en el mes siguiente, priorizando la detección de defaults reales sin generar un número excesivo de falsas alarmas?</w:t>
      </w:r>
    </w:p>
    <w:p w14:paraId="44FD11F1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1.3. Objetivos del proyecto</w:t>
      </w:r>
    </w:p>
    <w:p w14:paraId="3BA62331" w14:textId="77777777" w:rsidR="005061EE" w:rsidRPr="005061EE" w:rsidRDefault="005061EE" w:rsidP="00CE676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Desarrollar dos modelos de clasificación binaria:</w:t>
      </w:r>
      <w:r w:rsidRPr="005061EE">
        <w:rPr>
          <w:rFonts w:ascii="Arial" w:hAnsi="Arial" w:cs="Arial"/>
        </w:rPr>
        <w:t xml:space="preserve"> Regresión Logística y Árbol de Decisiones.</w:t>
      </w:r>
    </w:p>
    <w:p w14:paraId="6FA0E411" w14:textId="77777777" w:rsidR="005061EE" w:rsidRPr="005061EE" w:rsidRDefault="005061EE" w:rsidP="00CE676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Evaluar su desempeño mediante métricas apropiadas para datos desbalanceados (Accuracy, Precision, Recall, F1-Score, ROC-AUC).</w:t>
      </w:r>
    </w:p>
    <w:p w14:paraId="0A5A5524" w14:textId="77777777" w:rsidR="005061EE" w:rsidRPr="005061EE" w:rsidRDefault="005061EE" w:rsidP="00CE676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Seleccionar el mejor modelo para el escenario de riesgo crediticio.</w:t>
      </w:r>
    </w:p>
    <w:p w14:paraId="46810E62" w14:textId="77777777" w:rsidR="005061EE" w:rsidRPr="005061EE" w:rsidRDefault="005061EE" w:rsidP="00CE676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Interpretar los resultados y formular recomendaciones prácticas basadas en los hallazgos.</w:t>
      </w:r>
    </w:p>
    <w:p w14:paraId="6011AA4E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pict w14:anchorId="684E86C7">
          <v:rect id="_x0000_i1098" style="width:0;height:1.5pt" o:hralign="center" o:hrstd="t" o:hr="t" fillcolor="#a0a0a0" stroked="f"/>
        </w:pict>
      </w:r>
    </w:p>
    <w:p w14:paraId="20BF50F9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lastRenderedPageBreak/>
        <w:t>2. Metodología</w:t>
      </w:r>
    </w:p>
    <w:p w14:paraId="669223BE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2.1. Explicación de los datos</w:t>
      </w:r>
    </w:p>
    <w:p w14:paraId="0F720E36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El dataset original contiene 30,000 filas y 25 columnas. La variable objetivo </w:t>
      </w:r>
      <w:r w:rsidRPr="005061EE">
        <w:rPr>
          <w:rFonts w:ascii="Arial" w:hAnsi="Arial" w:cs="Arial"/>
          <w:b/>
          <w:bCs/>
        </w:rPr>
        <w:t>default.payment.next.month</w:t>
      </w:r>
      <w:r w:rsidRPr="005061EE">
        <w:rPr>
          <w:rFonts w:ascii="Arial" w:hAnsi="Arial" w:cs="Arial"/>
        </w:rPr>
        <w:t xml:space="preserve"> fue renombrada como </w:t>
      </w:r>
      <w:r w:rsidRPr="005061EE">
        <w:rPr>
          <w:rFonts w:ascii="Arial" w:hAnsi="Arial" w:cs="Arial"/>
          <w:b/>
          <w:bCs/>
        </w:rPr>
        <w:t>DEFAULT</w:t>
      </w:r>
      <w:r w:rsidRPr="005061EE">
        <w:rPr>
          <w:rFonts w:ascii="Arial" w:hAnsi="Arial" w:cs="Arial"/>
        </w:rPr>
        <w:t xml:space="preserve"> y convertida a tipo entero (0/1). Las variables predictoras incluyen: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5878"/>
        <w:gridCol w:w="1211"/>
      </w:tblGrid>
      <w:tr w:rsidR="005061EE" w:rsidRPr="005061EE" w14:paraId="00F712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597ED75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07D720D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78D40AD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Tipo</w:t>
            </w:r>
          </w:p>
        </w:tc>
      </w:tr>
      <w:tr w:rsidR="005061EE" w:rsidRPr="005061EE" w14:paraId="17FC0D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18E8B41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LIMIT_BAL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480F7A8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Límite de crédito otorgado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2A9D278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Numérica</w:t>
            </w:r>
          </w:p>
        </w:tc>
      </w:tr>
      <w:tr w:rsidR="005061EE" w:rsidRPr="005061EE" w14:paraId="61E25B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B91568D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SEX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B240B4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Género (1 = hombre, 2 = mujer)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E691F4B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Categórica</w:t>
            </w:r>
          </w:p>
        </w:tc>
      </w:tr>
      <w:tr w:rsidR="005061EE" w:rsidRPr="005061EE" w14:paraId="642C2A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3D4CD98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EDUCATION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5E02466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Nivel educativo (1 = posgrado, 2 = universidad, 3 = preparatoria, 0/4/5/6 = otros)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2E13147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Categórica</w:t>
            </w:r>
          </w:p>
        </w:tc>
      </w:tr>
      <w:tr w:rsidR="005061EE" w:rsidRPr="005061EE" w14:paraId="7ADC59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D69B1E1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MARRIAGE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AD9B6DE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Estado civil (1 = casado, 2 = soltero, 0/3 = otros)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D4929FA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Categórica</w:t>
            </w:r>
          </w:p>
        </w:tc>
      </w:tr>
      <w:tr w:rsidR="005061EE" w:rsidRPr="005061EE" w14:paraId="1375CC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2502919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8458FE8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Edad en años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FAE7971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Numérica</w:t>
            </w:r>
          </w:p>
        </w:tc>
      </w:tr>
      <w:tr w:rsidR="005061EE" w:rsidRPr="005061EE" w14:paraId="1EFB1C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93EABEA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PAY_0 a PAY_6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45608DF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Estado de pago (−2 = anticipo, −1 = a tiempo, 0 = uso crédito, 1+ = meses de retraso)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39F3D2F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Ordinal</w:t>
            </w:r>
          </w:p>
        </w:tc>
      </w:tr>
      <w:tr w:rsidR="005061EE" w:rsidRPr="005061EE" w14:paraId="29E98C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287E234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061EE">
              <w:rPr>
                <w:rFonts w:ascii="Arial" w:hAnsi="Arial" w:cs="Arial"/>
                <w:lang w:val="en-US"/>
              </w:rPr>
              <w:t>BILL_AMT1 a BILL_AMT6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FDB80F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Monto facturado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D8B091E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Numérica</w:t>
            </w:r>
          </w:p>
        </w:tc>
      </w:tr>
      <w:tr w:rsidR="005061EE" w:rsidRPr="005061EE" w14:paraId="29888A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FBD2B34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061EE">
              <w:rPr>
                <w:rFonts w:ascii="Arial" w:hAnsi="Arial" w:cs="Arial"/>
                <w:lang w:val="en-US"/>
              </w:rPr>
              <w:t>PAY_AMT1 a PAY_AMT6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72F6287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Monto pagado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FE3999B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Numérica</w:t>
            </w:r>
          </w:p>
        </w:tc>
      </w:tr>
    </w:tbl>
    <w:p w14:paraId="76363D5E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2.2. Análisis exploratorio de los datos</w:t>
      </w:r>
    </w:p>
    <w:p w14:paraId="19DD3C6E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Se realizaron las siguientes visualizaciones y análisis:</w:t>
      </w:r>
    </w:p>
    <w:p w14:paraId="57641669" w14:textId="77777777" w:rsidR="005061EE" w:rsidRPr="005061EE" w:rsidRDefault="005061EE" w:rsidP="00CE676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Distribución de DEFAULT</w:t>
      </w:r>
      <w:r w:rsidRPr="005061EE">
        <w:rPr>
          <w:rFonts w:ascii="Arial" w:hAnsi="Arial" w:cs="Arial"/>
        </w:rPr>
        <w:t>: 23,364 no defaults (77.9%), 6,636 defaults (22.1%).</w:t>
      </w:r>
    </w:p>
    <w:p w14:paraId="35BC9ACE" w14:textId="77777777" w:rsidR="005061EE" w:rsidRPr="005061EE" w:rsidRDefault="005061EE" w:rsidP="00CE676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Boxplot de AGE por DEFAULT</w:t>
      </w:r>
      <w:r w:rsidRPr="005061EE">
        <w:rPr>
          <w:rFonts w:ascii="Arial" w:hAnsi="Arial" w:cs="Arial"/>
        </w:rPr>
        <w:t>: ligera tendencia a menor edad en clientes que incumplen.</w:t>
      </w:r>
    </w:p>
    <w:p w14:paraId="1F8B9074" w14:textId="77777777" w:rsidR="005061EE" w:rsidRPr="005061EE" w:rsidRDefault="005061EE" w:rsidP="00CE676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lastRenderedPageBreak/>
        <w:t>Gráfico de PAY_0 vs DEFAULT</w:t>
      </w:r>
      <w:r w:rsidRPr="005061EE">
        <w:rPr>
          <w:rFonts w:ascii="Arial" w:hAnsi="Arial" w:cs="Arial"/>
        </w:rPr>
        <w:t>: proporción de defaults aumenta claramente con mayores retrasos.</w:t>
      </w:r>
    </w:p>
    <w:p w14:paraId="48316DC9" w14:textId="77777777" w:rsidR="005061EE" w:rsidRPr="005061EE" w:rsidRDefault="005061EE" w:rsidP="00CE676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Correlación de Pearson con DEFAULT</w:t>
      </w:r>
      <w:r w:rsidRPr="005061EE">
        <w:rPr>
          <w:rFonts w:ascii="Arial" w:hAnsi="Arial" w:cs="Arial"/>
        </w:rPr>
        <w:t>:</w:t>
      </w:r>
    </w:p>
    <w:p w14:paraId="2B4D81FA" w14:textId="77777777" w:rsidR="005061EE" w:rsidRPr="005061EE" w:rsidRDefault="005061EE" w:rsidP="00CE6760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PAY_0: </w:t>
      </w:r>
      <w:r w:rsidRPr="005061EE">
        <w:rPr>
          <w:rFonts w:ascii="Arial" w:hAnsi="Arial" w:cs="Arial"/>
          <w:b/>
          <w:bCs/>
        </w:rPr>
        <w:t>+0.325</w:t>
      </w:r>
    </w:p>
    <w:p w14:paraId="57801202" w14:textId="77777777" w:rsidR="005061EE" w:rsidRPr="005061EE" w:rsidRDefault="005061EE" w:rsidP="00CE6760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PAY_2: </w:t>
      </w:r>
      <w:r w:rsidRPr="005061EE">
        <w:rPr>
          <w:rFonts w:ascii="Arial" w:hAnsi="Arial" w:cs="Arial"/>
          <w:b/>
          <w:bCs/>
        </w:rPr>
        <w:t>+0.264</w:t>
      </w:r>
    </w:p>
    <w:p w14:paraId="673FCDC9" w14:textId="77777777" w:rsidR="005061EE" w:rsidRPr="005061EE" w:rsidRDefault="005061EE" w:rsidP="00CE6760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LIMIT_BAL: </w:t>
      </w:r>
      <w:r w:rsidRPr="005061EE">
        <w:rPr>
          <w:rFonts w:ascii="Arial" w:hAnsi="Arial" w:cs="Arial"/>
          <w:b/>
          <w:bCs/>
        </w:rPr>
        <w:t>−0.154</w:t>
      </w:r>
    </w:p>
    <w:p w14:paraId="15C689EA" w14:textId="77777777" w:rsidR="005061EE" w:rsidRPr="005061EE" w:rsidRDefault="005061EE" w:rsidP="00CE6760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PAY_AMT1: </w:t>
      </w:r>
      <w:r w:rsidRPr="005061EE">
        <w:rPr>
          <w:rFonts w:ascii="Arial" w:hAnsi="Arial" w:cs="Arial"/>
          <w:b/>
          <w:bCs/>
        </w:rPr>
        <w:t>−0.073</w:t>
      </w:r>
    </w:p>
    <w:p w14:paraId="7CA58D14" w14:textId="77777777" w:rsidR="005061EE" w:rsidRPr="005061EE" w:rsidRDefault="005061EE" w:rsidP="00CE6760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BILL_AMT1: </w:t>
      </w:r>
      <w:r w:rsidRPr="005061EE">
        <w:rPr>
          <w:rFonts w:ascii="Arial" w:hAnsi="Arial" w:cs="Arial"/>
          <w:b/>
          <w:bCs/>
        </w:rPr>
        <w:t>−0.020</w:t>
      </w:r>
    </w:p>
    <w:p w14:paraId="76222582" w14:textId="20A36838" w:rsidR="005061EE" w:rsidRPr="00CE6760" w:rsidRDefault="005061EE" w:rsidP="00CE6760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AGE: </w:t>
      </w:r>
      <w:r w:rsidRPr="005061EE">
        <w:rPr>
          <w:rFonts w:ascii="Arial" w:hAnsi="Arial" w:cs="Arial"/>
          <w:b/>
          <w:bCs/>
        </w:rPr>
        <w:t>+0.014</w:t>
      </w:r>
    </w:p>
    <w:p w14:paraId="72F22D97" w14:textId="77777777" w:rsidR="00130CDE" w:rsidRPr="00130CDE" w:rsidRDefault="00130CDE" w:rsidP="00CE6760">
      <w:p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</w:rPr>
        <w:t xml:space="preserve">La </w:t>
      </w:r>
      <w:r w:rsidRPr="00130CDE">
        <w:rPr>
          <w:rFonts w:ascii="Arial" w:hAnsi="Arial" w:cs="Arial"/>
          <w:b/>
          <w:bCs/>
        </w:rPr>
        <w:t>correlación de Pearson</w:t>
      </w:r>
      <w:r w:rsidRPr="00130CDE">
        <w:rPr>
          <w:rFonts w:ascii="Arial" w:hAnsi="Arial" w:cs="Arial"/>
        </w:rPr>
        <w:t xml:space="preserve"> mide la fuerza y dirección de la relación lineal entre dos variables, con valores entre </w:t>
      </w:r>
      <w:r w:rsidRPr="00130CDE">
        <w:rPr>
          <w:rFonts w:ascii="Arial" w:hAnsi="Arial" w:cs="Arial"/>
          <w:b/>
          <w:bCs/>
        </w:rPr>
        <w:t>−1 y +1</w:t>
      </w:r>
      <w:r w:rsidRPr="00130CDE">
        <w:rPr>
          <w:rFonts w:ascii="Arial" w:hAnsi="Arial" w:cs="Arial"/>
        </w:rPr>
        <w:t>:</w:t>
      </w:r>
    </w:p>
    <w:p w14:paraId="4FCBF796" w14:textId="77777777" w:rsidR="00130CDE" w:rsidRPr="00130CDE" w:rsidRDefault="00130CDE" w:rsidP="00CE6760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  <w:b/>
          <w:bCs/>
        </w:rPr>
        <w:t>+1</w:t>
      </w:r>
      <w:r w:rsidRPr="00130CDE">
        <w:rPr>
          <w:rFonts w:ascii="Arial" w:hAnsi="Arial" w:cs="Arial"/>
        </w:rPr>
        <w:t>: relación lineal positiva perfecta (cuando una variable aumenta, la otra también).</w:t>
      </w:r>
    </w:p>
    <w:p w14:paraId="5EE60789" w14:textId="77777777" w:rsidR="00130CDE" w:rsidRPr="00130CDE" w:rsidRDefault="00130CDE" w:rsidP="00CE6760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  <w:b/>
          <w:bCs/>
        </w:rPr>
        <w:t>−1</w:t>
      </w:r>
      <w:r w:rsidRPr="00130CDE">
        <w:rPr>
          <w:rFonts w:ascii="Arial" w:hAnsi="Arial" w:cs="Arial"/>
        </w:rPr>
        <w:t>: relación lineal negativa perfecta (cuando una variable aumenta, la otra disminuye).</w:t>
      </w:r>
    </w:p>
    <w:p w14:paraId="39BC0F00" w14:textId="77777777" w:rsidR="00130CDE" w:rsidRPr="00130CDE" w:rsidRDefault="00130CDE" w:rsidP="00CE6760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  <w:b/>
          <w:bCs/>
        </w:rPr>
        <w:t>0</w:t>
      </w:r>
      <w:r w:rsidRPr="00130CDE">
        <w:rPr>
          <w:rFonts w:ascii="Arial" w:hAnsi="Arial" w:cs="Arial"/>
        </w:rPr>
        <w:t>: ausencia de relación lineal.</w:t>
      </w:r>
    </w:p>
    <w:p w14:paraId="7E9852FB" w14:textId="77777777" w:rsidR="00130CDE" w:rsidRPr="00130CDE" w:rsidRDefault="00130CDE" w:rsidP="00CE6760">
      <w:p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</w:rPr>
        <w:t xml:space="preserve">En este análisis, valores más cercanos a </w:t>
      </w:r>
      <w:r w:rsidRPr="00130CDE">
        <w:rPr>
          <w:rFonts w:ascii="Arial" w:hAnsi="Arial" w:cs="Arial"/>
          <w:b/>
          <w:bCs/>
        </w:rPr>
        <w:t>+1</w:t>
      </w:r>
      <w:r w:rsidRPr="00130CDE">
        <w:rPr>
          <w:rFonts w:ascii="Arial" w:hAnsi="Arial" w:cs="Arial"/>
        </w:rPr>
        <w:t xml:space="preserve"> indican que, a mayor valor de la variable, mayor probabilidad de incumplimiento (DEFAULT = 1); valores más cercanos a </w:t>
      </w:r>
      <w:r w:rsidRPr="00130CDE">
        <w:rPr>
          <w:rFonts w:ascii="Arial" w:hAnsi="Arial" w:cs="Arial"/>
          <w:b/>
          <w:bCs/>
        </w:rPr>
        <w:t>−1</w:t>
      </w:r>
      <w:r w:rsidRPr="00130CDE">
        <w:rPr>
          <w:rFonts w:ascii="Arial" w:hAnsi="Arial" w:cs="Arial"/>
        </w:rPr>
        <w:t xml:space="preserve"> sugieren lo contrario.</w:t>
      </w:r>
    </w:p>
    <w:p w14:paraId="34B45B2C" w14:textId="77777777" w:rsidR="00130CDE" w:rsidRPr="00130CDE" w:rsidRDefault="00130CDE" w:rsidP="00CE6760">
      <w:p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</w:rPr>
        <w:t>Los resultados muestran que:</w:t>
      </w:r>
    </w:p>
    <w:p w14:paraId="061A87B8" w14:textId="359120B7" w:rsidR="00130CDE" w:rsidRPr="00130CDE" w:rsidRDefault="00130CDE" w:rsidP="00CE6760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</w:rPr>
        <w:t>PAY_0 (estado de pago más reciente) tiene la correlación más alta (</w:t>
      </w:r>
      <w:r w:rsidRPr="00130CDE">
        <w:rPr>
          <w:rFonts w:ascii="Arial" w:hAnsi="Arial" w:cs="Arial"/>
          <w:b/>
          <w:bCs/>
        </w:rPr>
        <w:t>+0.325</w:t>
      </w:r>
      <w:r w:rsidRPr="00130CDE">
        <w:rPr>
          <w:rFonts w:ascii="Arial" w:hAnsi="Arial" w:cs="Arial"/>
        </w:rPr>
        <w:t xml:space="preserve">), lo que indica </w:t>
      </w:r>
      <w:r w:rsidR="003B0912" w:rsidRPr="00130CDE">
        <w:rPr>
          <w:rFonts w:ascii="Arial" w:hAnsi="Arial" w:cs="Arial"/>
        </w:rPr>
        <w:t>que,</w:t>
      </w:r>
      <w:r w:rsidRPr="00130CDE">
        <w:rPr>
          <w:rFonts w:ascii="Arial" w:hAnsi="Arial" w:cs="Arial"/>
        </w:rPr>
        <w:t xml:space="preserve"> </w:t>
      </w:r>
      <w:r w:rsidRPr="00130CDE">
        <w:rPr>
          <w:rFonts w:ascii="Arial" w:hAnsi="Arial" w:cs="Arial"/>
          <w:b/>
          <w:bCs/>
        </w:rPr>
        <w:t>a mayor retraso en el pago actual, mayor riesgo de default</w:t>
      </w:r>
      <w:r w:rsidRPr="00130CDE">
        <w:rPr>
          <w:rFonts w:ascii="Arial" w:hAnsi="Arial" w:cs="Arial"/>
        </w:rPr>
        <w:t>.</w:t>
      </w:r>
    </w:p>
    <w:p w14:paraId="42D5646D" w14:textId="77777777" w:rsidR="00130CDE" w:rsidRPr="00130CDE" w:rsidRDefault="00130CDE" w:rsidP="00CE6760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</w:rPr>
        <w:t>PAY_2 (retraso hace 2 meses) también muestra una relación positiva notable (</w:t>
      </w:r>
      <w:r w:rsidRPr="00130CDE">
        <w:rPr>
          <w:rFonts w:ascii="Arial" w:hAnsi="Arial" w:cs="Arial"/>
          <w:b/>
          <w:bCs/>
        </w:rPr>
        <w:t>+0.264</w:t>
      </w:r>
      <w:r w:rsidRPr="00130CDE">
        <w:rPr>
          <w:rFonts w:ascii="Arial" w:hAnsi="Arial" w:cs="Arial"/>
        </w:rPr>
        <w:t>), confirmando que el historial reciente de pagos es altamente predictivo.</w:t>
      </w:r>
    </w:p>
    <w:p w14:paraId="0F7A877C" w14:textId="77777777" w:rsidR="00130CDE" w:rsidRPr="00130CDE" w:rsidRDefault="00130CDE" w:rsidP="00CE6760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</w:rPr>
        <w:lastRenderedPageBreak/>
        <w:t>LIMIT_BAL (límite de crédito) presenta una correlación negativa (</w:t>
      </w:r>
      <w:r w:rsidRPr="00130CDE">
        <w:rPr>
          <w:rFonts w:ascii="Arial" w:hAnsi="Arial" w:cs="Arial"/>
          <w:b/>
          <w:bCs/>
        </w:rPr>
        <w:t>−0.154</w:t>
      </w:r>
      <w:r w:rsidRPr="00130CDE">
        <w:rPr>
          <w:rFonts w:ascii="Arial" w:hAnsi="Arial" w:cs="Arial"/>
        </w:rPr>
        <w:t xml:space="preserve">), sugiriendo que </w:t>
      </w:r>
      <w:r w:rsidRPr="00130CDE">
        <w:rPr>
          <w:rFonts w:ascii="Arial" w:hAnsi="Arial" w:cs="Arial"/>
          <w:b/>
          <w:bCs/>
        </w:rPr>
        <w:t>límites más altos se asocian con menor riesgo</w:t>
      </w:r>
      <w:r w:rsidRPr="00130CDE">
        <w:rPr>
          <w:rFonts w:ascii="Arial" w:hAnsi="Arial" w:cs="Arial"/>
        </w:rPr>
        <w:t>, posiblemente por mayor estabilidad financiera.</w:t>
      </w:r>
    </w:p>
    <w:p w14:paraId="6AAC6A60" w14:textId="77777777" w:rsidR="00130CDE" w:rsidRPr="00130CDE" w:rsidRDefault="00130CDE" w:rsidP="00CE6760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</w:rPr>
        <w:t>Las demás variables (PAY_AMT1, BILL_AMT1, AGE) tienen correlaciones cercanas a cero, lo que indica una relación lineal muy débil con el incumplimiento.</w:t>
      </w:r>
    </w:p>
    <w:p w14:paraId="7379C5E8" w14:textId="48F038B4" w:rsidR="00130CDE" w:rsidRPr="00130CDE" w:rsidRDefault="00130CDE" w:rsidP="00CE6760">
      <w:pPr>
        <w:spacing w:line="360" w:lineRule="auto"/>
        <w:jc w:val="both"/>
        <w:rPr>
          <w:rFonts w:ascii="Arial" w:hAnsi="Arial" w:cs="Arial"/>
        </w:rPr>
      </w:pPr>
      <w:r w:rsidRPr="00130CDE">
        <w:rPr>
          <w:rFonts w:ascii="Arial" w:hAnsi="Arial" w:cs="Arial"/>
          <w:b/>
          <w:bCs/>
        </w:rPr>
        <w:t xml:space="preserve">Nota </w:t>
      </w:r>
      <w:r w:rsidRPr="00130CDE">
        <w:rPr>
          <w:rFonts w:ascii="Arial" w:hAnsi="Arial" w:cs="Arial"/>
        </w:rPr>
        <w:t>: La correlación no implica causalidad. Estas asociaciones describen patrones observados en los datos, no relaciones causales.</w:t>
      </w:r>
    </w:p>
    <w:p w14:paraId="719EB293" w14:textId="77777777" w:rsidR="00130CDE" w:rsidRPr="005061EE" w:rsidRDefault="00130CDE" w:rsidP="00CE6760">
      <w:pPr>
        <w:spacing w:line="360" w:lineRule="auto"/>
        <w:jc w:val="both"/>
        <w:rPr>
          <w:rFonts w:ascii="Arial" w:hAnsi="Arial" w:cs="Arial"/>
        </w:rPr>
      </w:pPr>
    </w:p>
    <w:p w14:paraId="1705E623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2.3. División del conjunto de datos</w:t>
      </w:r>
    </w:p>
    <w:p w14:paraId="585A9492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Se realizó una división estratificada para preservar la proporción de defaults en ambos conjuntos:</w:t>
      </w:r>
    </w:p>
    <w:p w14:paraId="2602864C" w14:textId="77777777" w:rsidR="005061EE" w:rsidRPr="005061EE" w:rsidRDefault="005061EE" w:rsidP="00CE6760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Entrenamiento</w:t>
      </w:r>
      <w:r w:rsidRPr="005061EE">
        <w:rPr>
          <w:rFonts w:ascii="Arial" w:hAnsi="Arial" w:cs="Arial"/>
        </w:rPr>
        <w:t>: 21,000 observaciones (22.1% defaults).</w:t>
      </w:r>
    </w:p>
    <w:p w14:paraId="49E6E29B" w14:textId="77777777" w:rsidR="005061EE" w:rsidRPr="005061EE" w:rsidRDefault="005061EE" w:rsidP="00CE6760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Prueba</w:t>
      </w:r>
      <w:r w:rsidRPr="005061EE">
        <w:rPr>
          <w:rFonts w:ascii="Arial" w:hAnsi="Arial" w:cs="Arial"/>
        </w:rPr>
        <w:t>: 9,000 observaciones (22.1% defaults).</w:t>
      </w:r>
    </w:p>
    <w:p w14:paraId="39903BB6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2.4. Descripción de los algoritmos y técnicas utilizadas</w:t>
      </w:r>
    </w:p>
    <w:p w14:paraId="6D4F8211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Preprocesamiento</w:t>
      </w:r>
    </w:p>
    <w:p w14:paraId="1E3DB4EC" w14:textId="77777777" w:rsidR="005061EE" w:rsidRPr="005061EE" w:rsidRDefault="005061EE" w:rsidP="00CE676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Limpieza categórica</w:t>
      </w:r>
      <w:r w:rsidRPr="005061EE">
        <w:rPr>
          <w:rFonts w:ascii="Arial" w:hAnsi="Arial" w:cs="Arial"/>
        </w:rPr>
        <w:t>:</w:t>
      </w:r>
    </w:p>
    <w:p w14:paraId="40528731" w14:textId="22E1B95D" w:rsidR="005061EE" w:rsidRPr="005061EE" w:rsidRDefault="005061EE" w:rsidP="00CE6760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EDUCATION: valores 0, 5, 6 → recodificados como 4 ("otros")</w:t>
      </w:r>
      <w:r w:rsidR="00964CFD" w:rsidRPr="00CE6760">
        <w:rPr>
          <w:rFonts w:ascii="Arial" w:hAnsi="Arial" w:cs="Arial"/>
        </w:rPr>
        <w:t xml:space="preserve"> debido a que son valores </w:t>
      </w:r>
      <w:r w:rsidR="00880A5B" w:rsidRPr="00CE6760">
        <w:rPr>
          <w:rFonts w:ascii="Arial" w:hAnsi="Arial" w:cs="Arial"/>
        </w:rPr>
        <w:t>que se encuentran como “desconocidos”</w:t>
      </w:r>
      <w:r w:rsidR="0085472B" w:rsidRPr="00CE6760">
        <w:rPr>
          <w:rFonts w:ascii="Arial" w:hAnsi="Arial" w:cs="Arial"/>
        </w:rPr>
        <w:t xml:space="preserve"> según </w:t>
      </w:r>
      <w:r w:rsidR="00DE5E8B">
        <w:rPr>
          <w:rFonts w:ascii="Arial" w:hAnsi="Arial" w:cs="Arial"/>
        </w:rPr>
        <w:t xml:space="preserve"> la documentación oficial del UCI Credit Card Dataset</w:t>
      </w:r>
      <w:r w:rsidR="00584F61">
        <w:rPr>
          <w:rFonts w:ascii="Arial" w:hAnsi="Arial" w:cs="Arial"/>
        </w:rPr>
        <w:t xml:space="preserve"> (Y</w:t>
      </w:r>
      <w:r w:rsidR="0085472B" w:rsidRPr="00CE6760">
        <w:rPr>
          <w:rFonts w:ascii="Arial" w:hAnsi="Arial" w:cs="Arial"/>
          <w:noProof/>
        </w:rPr>
        <w:t>eh</w:t>
      </w:r>
      <w:r w:rsidR="0004637F">
        <w:rPr>
          <w:rFonts w:ascii="Arial" w:hAnsi="Arial" w:cs="Arial"/>
          <w:noProof/>
        </w:rPr>
        <w:t>, I. C.</w:t>
      </w:r>
      <w:r w:rsidR="00584F61">
        <w:rPr>
          <w:rFonts w:ascii="Arial" w:hAnsi="Arial" w:cs="Arial"/>
          <w:noProof/>
        </w:rPr>
        <w:t xml:space="preserve"> y Lien</w:t>
      </w:r>
      <w:r w:rsidR="0004637F">
        <w:rPr>
          <w:rFonts w:ascii="Arial" w:hAnsi="Arial" w:cs="Arial"/>
          <w:noProof/>
        </w:rPr>
        <w:t>, C. H.</w:t>
      </w:r>
      <w:r w:rsidR="00584F61">
        <w:rPr>
          <w:rFonts w:ascii="Arial" w:hAnsi="Arial" w:cs="Arial"/>
          <w:noProof/>
        </w:rPr>
        <w:t>,</w:t>
      </w:r>
      <w:r w:rsidR="0085472B" w:rsidRPr="00CE6760">
        <w:rPr>
          <w:rFonts w:ascii="Arial" w:hAnsi="Arial" w:cs="Arial"/>
          <w:noProof/>
        </w:rPr>
        <w:t xml:space="preserve"> 2009)</w:t>
      </w:r>
      <w:r w:rsidRPr="005061EE">
        <w:rPr>
          <w:rFonts w:ascii="Arial" w:hAnsi="Arial" w:cs="Arial"/>
        </w:rPr>
        <w:t>.</w:t>
      </w:r>
    </w:p>
    <w:p w14:paraId="39194B40" w14:textId="67F5E2E1" w:rsidR="005061EE" w:rsidRPr="005061EE" w:rsidRDefault="005061EE" w:rsidP="00CE6760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MARRIAGE: valor 0 → recodificado como 3 ("otros")</w:t>
      </w:r>
      <w:r w:rsidR="00F91AD2" w:rsidRPr="00CE6760">
        <w:rPr>
          <w:rFonts w:ascii="Arial" w:hAnsi="Arial" w:cs="Arial"/>
        </w:rPr>
        <w:t xml:space="preserve"> por la misma razón</w:t>
      </w:r>
      <w:r w:rsidRPr="005061EE">
        <w:rPr>
          <w:rFonts w:ascii="Arial" w:hAnsi="Arial" w:cs="Arial"/>
        </w:rPr>
        <w:t>.</w:t>
      </w:r>
    </w:p>
    <w:p w14:paraId="1A68B809" w14:textId="77777777" w:rsidR="005061EE" w:rsidRPr="005061EE" w:rsidRDefault="005061EE" w:rsidP="00CE676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Ingeniería de características</w:t>
      </w:r>
      <w:r w:rsidRPr="005061EE">
        <w:rPr>
          <w:rFonts w:ascii="Arial" w:hAnsi="Arial" w:cs="Arial"/>
        </w:rPr>
        <w:t>:</w:t>
      </w:r>
    </w:p>
    <w:p w14:paraId="3E68E652" w14:textId="77777777" w:rsidR="005061EE" w:rsidRPr="005061EE" w:rsidRDefault="005061EE" w:rsidP="00CE6760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lang w:val="en-US"/>
        </w:rPr>
      </w:pPr>
      <w:r w:rsidRPr="005061EE">
        <w:rPr>
          <w:rFonts w:ascii="Arial" w:hAnsi="Arial" w:cs="Arial"/>
          <w:lang w:val="en-US"/>
        </w:rPr>
        <w:t>UTILIZATION_RATIO = BILL_AMT1 / max(LIMIT_BAL, 1)</w:t>
      </w:r>
    </w:p>
    <w:p w14:paraId="5958A257" w14:textId="77777777" w:rsidR="005061EE" w:rsidRPr="005061EE" w:rsidRDefault="005061EE" w:rsidP="00CE6760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AVG_PAY_DELAY: promedio de retrasos pasados (&gt;0).</w:t>
      </w:r>
    </w:p>
    <w:p w14:paraId="3858D98B" w14:textId="77777777" w:rsidR="005061EE" w:rsidRPr="005061EE" w:rsidRDefault="005061EE" w:rsidP="00CE676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lastRenderedPageBreak/>
        <w:t>Manejo de desbalance</w:t>
      </w:r>
      <w:r w:rsidRPr="005061EE">
        <w:rPr>
          <w:rFonts w:ascii="Arial" w:hAnsi="Arial" w:cs="Arial"/>
        </w:rPr>
        <w:t>: class_weight='balanced' (peso ≈ 2.26 para DEFAULT=1, 0.64 para DEFAULT=0).</w:t>
      </w:r>
    </w:p>
    <w:p w14:paraId="439E7F97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Modelos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2"/>
        <w:gridCol w:w="5091"/>
        <w:gridCol w:w="2544"/>
      </w:tblGrid>
      <w:tr w:rsidR="005061EE" w:rsidRPr="005061EE" w14:paraId="75EB11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2919262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5A97ADE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Parámetros 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21DB5225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Preprocesamiento</w:t>
            </w:r>
          </w:p>
        </w:tc>
      </w:tr>
      <w:tr w:rsidR="005061EE" w:rsidRPr="005061EE" w14:paraId="044D0B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09A24C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  <w:b/>
                <w:bCs/>
              </w:rPr>
              <w:t>Regresión Logística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AA433EC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061EE">
              <w:rPr>
                <w:rFonts w:ascii="Arial" w:hAnsi="Arial" w:cs="Arial"/>
                <w:lang w:val="en-US"/>
              </w:rPr>
              <w:t>solver='liblinear', max_iter=1000, class_weight='balanced'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868B74F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Escalado con StandardScaler</w:t>
            </w:r>
          </w:p>
        </w:tc>
      </w:tr>
      <w:tr w:rsidR="005061EE" w:rsidRPr="005061EE" w14:paraId="4E72FD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AC395E6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  <w:b/>
                <w:bCs/>
              </w:rPr>
              <w:t>Árbol de Decisiones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C5A68CD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5061EE">
              <w:rPr>
                <w:rFonts w:ascii="Arial" w:hAnsi="Arial" w:cs="Arial"/>
                <w:lang w:val="en-US"/>
              </w:rPr>
              <w:t>max_depth=5, min_samples_split=20, min_samples_leaf=10, class_weight='balanced'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3736EEC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Sin escalado</w:t>
            </w:r>
          </w:p>
        </w:tc>
      </w:tr>
    </w:tbl>
    <w:p w14:paraId="2C67459F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2.5. Evaluación de los modelos</w:t>
      </w:r>
    </w:p>
    <w:p w14:paraId="10E6A6ED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Métricas calculadas exclusivamente en el conjunto de </w:t>
      </w:r>
      <w:r w:rsidRPr="005061EE">
        <w:rPr>
          <w:rFonts w:ascii="Arial" w:hAnsi="Arial" w:cs="Arial"/>
          <w:b/>
          <w:bCs/>
        </w:rPr>
        <w:t>prueba</w:t>
      </w:r>
      <w:r w:rsidRPr="005061EE">
        <w:rPr>
          <w:rFonts w:ascii="Arial" w:hAnsi="Arial" w:cs="Arial"/>
        </w:rPr>
        <w:t>:</w:t>
      </w:r>
    </w:p>
    <w:p w14:paraId="7B9E947B" w14:textId="77777777" w:rsidR="005061EE" w:rsidRPr="005061EE" w:rsidRDefault="005061EE" w:rsidP="00CE676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Accuracy</w:t>
      </w:r>
      <w:r w:rsidRPr="005061EE">
        <w:rPr>
          <w:rFonts w:ascii="Arial" w:hAnsi="Arial" w:cs="Arial"/>
        </w:rPr>
        <w:t>: proporción total de aciertos.</w:t>
      </w:r>
    </w:p>
    <w:p w14:paraId="0DB33057" w14:textId="77777777" w:rsidR="005061EE" w:rsidRPr="005061EE" w:rsidRDefault="005061EE" w:rsidP="00CE676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Precision</w:t>
      </w:r>
      <w:r w:rsidRPr="005061EE">
        <w:rPr>
          <w:rFonts w:ascii="Arial" w:hAnsi="Arial" w:cs="Arial"/>
        </w:rPr>
        <w:t>: proporción de alertas correctas (TP / (TP + FP)).</w:t>
      </w:r>
    </w:p>
    <w:p w14:paraId="2E52449C" w14:textId="77777777" w:rsidR="005061EE" w:rsidRPr="005061EE" w:rsidRDefault="005061EE" w:rsidP="00CE676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Recall</w:t>
      </w:r>
      <w:r w:rsidRPr="005061EE">
        <w:rPr>
          <w:rFonts w:ascii="Arial" w:hAnsi="Arial" w:cs="Arial"/>
        </w:rPr>
        <w:t>: proporción de defaults reales detectados (TP / (TP + FN)).</w:t>
      </w:r>
    </w:p>
    <w:p w14:paraId="251EE7B2" w14:textId="77777777" w:rsidR="005061EE" w:rsidRPr="005061EE" w:rsidRDefault="005061EE" w:rsidP="00CE676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F1-Score</w:t>
      </w:r>
      <w:r w:rsidRPr="005061EE">
        <w:rPr>
          <w:rFonts w:ascii="Arial" w:hAnsi="Arial" w:cs="Arial"/>
        </w:rPr>
        <w:t>: promedio armónico de Precision y Recall.</w:t>
      </w:r>
    </w:p>
    <w:p w14:paraId="20E9E4AE" w14:textId="7611EC1E" w:rsidR="005061EE" w:rsidRPr="005061EE" w:rsidRDefault="005061EE" w:rsidP="00CE676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ROC-AUC</w:t>
      </w:r>
      <w:r w:rsidRPr="005061EE">
        <w:rPr>
          <w:rFonts w:ascii="Arial" w:hAnsi="Arial" w:cs="Arial"/>
        </w:rPr>
        <w:t>: área bajo la curva ROC, medida de discriminación global.</w:t>
      </w:r>
    </w:p>
    <w:p w14:paraId="47F6B9B5" w14:textId="77777777" w:rsid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3. Resultados</w:t>
      </w:r>
    </w:p>
    <w:p w14:paraId="4DCE680C" w14:textId="77777777" w:rsidR="00F76E21" w:rsidRPr="00F76E21" w:rsidRDefault="00F76E21" w:rsidP="00F76E21">
      <w:pPr>
        <w:spacing w:line="360" w:lineRule="auto"/>
        <w:jc w:val="both"/>
        <w:rPr>
          <w:rFonts w:ascii="Arial" w:hAnsi="Arial" w:cs="Arial"/>
        </w:rPr>
      </w:pPr>
      <w:r w:rsidRPr="00F76E21">
        <w:rPr>
          <w:rFonts w:ascii="Arial" w:hAnsi="Arial" w:cs="Arial"/>
        </w:rPr>
        <w:t>A continuación, se presentan los hallazgos derivados del análisis exploratorio y la evaluación de modelos. Las figuras generadas permiten visualizar patrones clave en los datos y comparar el desempeño de los algoritmos implementados.</w:t>
      </w:r>
    </w:p>
    <w:p w14:paraId="027A67FC" w14:textId="48B8CB22" w:rsidR="00F76E21" w:rsidRPr="00F76E21" w:rsidRDefault="00F76E21" w:rsidP="00F76E21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76E21">
        <w:rPr>
          <w:rFonts w:ascii="Arial" w:hAnsi="Arial" w:cs="Arial"/>
          <w:b/>
          <w:bCs/>
        </w:rPr>
        <w:t>Figura 1 (Distribución de DEFAULT</w:t>
      </w:r>
      <w:r w:rsidRPr="00F76E21">
        <w:rPr>
          <w:rFonts w:ascii="Arial" w:hAnsi="Arial" w:cs="Arial"/>
        </w:rPr>
        <w:t xml:space="preserve">) </w:t>
      </w:r>
      <w:r w:rsidR="001E5C6E">
        <w:rPr>
          <w:rFonts w:ascii="Arial" w:hAnsi="Arial" w:cs="Arial"/>
        </w:rPr>
        <w:t>M</w:t>
      </w:r>
      <w:r w:rsidRPr="00F76E21">
        <w:rPr>
          <w:rFonts w:ascii="Arial" w:hAnsi="Arial" w:cs="Arial"/>
        </w:rPr>
        <w:t>uestra que el 77.9% de los clientes no incurrieron en incumplimiento (23,364 observaciones), mientras que el 22.1% sí lo hicieron (6,636 observaciones), confirmando un problema claramente desbalanceado — característica crítica que guió la selección de métricas y técnicas de modelado.</w:t>
      </w:r>
    </w:p>
    <w:p w14:paraId="7914705E" w14:textId="7E8AAEC2" w:rsidR="00716E22" w:rsidRPr="00716E22" w:rsidRDefault="00F76E21" w:rsidP="00AA3109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76E21">
        <w:rPr>
          <w:rFonts w:ascii="Arial" w:hAnsi="Arial" w:cs="Arial"/>
          <w:b/>
          <w:bCs/>
        </w:rPr>
        <w:lastRenderedPageBreak/>
        <w:t>Figura 2 (Edad vs Incumplimiento)</w:t>
      </w:r>
      <w:r w:rsidRPr="00F76E21">
        <w:rPr>
          <w:rFonts w:ascii="Arial" w:hAnsi="Arial" w:cs="Arial"/>
        </w:rPr>
        <w:t xml:space="preserve"> </w:t>
      </w:r>
      <w:r w:rsidR="001E5C6E">
        <w:rPr>
          <w:rFonts w:ascii="Arial" w:hAnsi="Arial" w:cs="Arial"/>
        </w:rPr>
        <w:t>A</w:t>
      </w:r>
      <w:r w:rsidR="00716E22" w:rsidRPr="00716E22">
        <w:rPr>
          <w:rFonts w:ascii="Arial" w:hAnsi="Arial" w:cs="Arial"/>
        </w:rPr>
        <w:t>unque la mediana de edad es la misma (34 años), la distribución de DEFAULT=1 presenta mayor dispersión y una cola más larga hacia edades menores, consistente con una relación no lineal entre edad y riesgo.</w:t>
      </w:r>
    </w:p>
    <w:p w14:paraId="218964FF" w14:textId="4848C363" w:rsidR="00F76E21" w:rsidRPr="00F76E21" w:rsidRDefault="00F76E21" w:rsidP="00AA3109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76E21">
        <w:rPr>
          <w:rFonts w:ascii="Arial" w:hAnsi="Arial" w:cs="Arial"/>
          <w:b/>
          <w:bCs/>
        </w:rPr>
        <w:t>Figura 3 (Estado de Pago Reciente — PAY_0 — vs DEFAULT)</w:t>
      </w:r>
      <w:r w:rsidRPr="00F76E21">
        <w:rPr>
          <w:rFonts w:ascii="Arial" w:hAnsi="Arial" w:cs="Arial"/>
        </w:rPr>
        <w:t xml:space="preserve"> </w:t>
      </w:r>
      <w:r w:rsidR="001E5C6E">
        <w:rPr>
          <w:rFonts w:ascii="Arial" w:hAnsi="Arial" w:cs="Arial"/>
        </w:rPr>
        <w:t>E</w:t>
      </w:r>
      <w:r w:rsidRPr="00F76E21">
        <w:rPr>
          <w:rFonts w:ascii="Arial" w:hAnsi="Arial" w:cs="Arial"/>
        </w:rPr>
        <w:t>videncia una relación directa y no lineal entre el retraso en el pago más reciente y la probabilidad de incumplimiento. Por ejemplo, para clientes con PAY_0 = 0 (uso de crédito sin retraso), la tasa de default es de ~12%; mientras que para PAY_0 = 2 (2 meses de retraso), supera el 50%.</w:t>
      </w:r>
    </w:p>
    <w:p w14:paraId="2EF450C5" w14:textId="04B263D2" w:rsidR="00F76E21" w:rsidRPr="00F76E21" w:rsidRDefault="00F76E21" w:rsidP="00F76E21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76E21">
        <w:rPr>
          <w:rFonts w:ascii="Arial" w:hAnsi="Arial" w:cs="Arial"/>
          <w:b/>
          <w:bCs/>
        </w:rPr>
        <w:t>Figura 4 (Matriz de Correlación)</w:t>
      </w:r>
      <w:r w:rsidRPr="00F76E21">
        <w:rPr>
          <w:rFonts w:ascii="Arial" w:hAnsi="Arial" w:cs="Arial"/>
        </w:rPr>
        <w:t xml:space="preserve"> </w:t>
      </w:r>
      <w:r w:rsidR="001E5C6E">
        <w:rPr>
          <w:rFonts w:ascii="Arial" w:hAnsi="Arial" w:cs="Arial"/>
        </w:rPr>
        <w:t>C</w:t>
      </w:r>
      <w:r w:rsidRPr="00F76E21">
        <w:rPr>
          <w:rFonts w:ascii="Arial" w:hAnsi="Arial" w:cs="Arial"/>
        </w:rPr>
        <w:t xml:space="preserve">onfirma que PAY_0 es la variable más correlacionada con DEFAULT (r = +0.325), seguida de PAY_2 (r = +0.264) y LIMIT_BAL (r = −0.154), lo que respalda su uso como </w:t>
      </w:r>
      <w:r w:rsidR="001E5C6E" w:rsidRPr="00F76E21">
        <w:rPr>
          <w:rFonts w:ascii="Arial" w:hAnsi="Arial" w:cs="Arial"/>
        </w:rPr>
        <w:t>predictores claves</w:t>
      </w:r>
      <w:r w:rsidRPr="00F76E21">
        <w:rPr>
          <w:rFonts w:ascii="Arial" w:hAnsi="Arial" w:cs="Arial"/>
        </w:rPr>
        <w:t xml:space="preserve"> en los modelos.</w:t>
      </w:r>
    </w:p>
    <w:p w14:paraId="6DCB7001" w14:textId="2C66348A" w:rsidR="00F76E21" w:rsidRPr="00F76E21" w:rsidRDefault="00F76E21" w:rsidP="00F76E21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F76E21">
        <w:rPr>
          <w:rFonts w:ascii="Arial" w:hAnsi="Arial" w:cs="Arial"/>
          <w:b/>
          <w:bCs/>
        </w:rPr>
        <w:t>Figura 5 (Comparación de Modelos: Métricas Clave)</w:t>
      </w:r>
      <w:r w:rsidRPr="00F76E21">
        <w:rPr>
          <w:rFonts w:ascii="Arial" w:hAnsi="Arial" w:cs="Arial"/>
        </w:rPr>
        <w:t xml:space="preserve"> </w:t>
      </w:r>
      <w:r w:rsidR="001E5C6E">
        <w:rPr>
          <w:rFonts w:ascii="Arial" w:hAnsi="Arial" w:cs="Arial"/>
        </w:rPr>
        <w:t>S</w:t>
      </w:r>
      <w:r w:rsidRPr="00F76E21">
        <w:rPr>
          <w:rFonts w:ascii="Arial" w:hAnsi="Arial" w:cs="Arial"/>
        </w:rPr>
        <w:t>intetiza el desempeño en el conjunto de prueba: el Árbol de Decisiones supera a la Regresión Logística en Accuracy (0.755 vs 0.730), Precision (0.459 vs 0.425), F1-Score (0.519 vs 0.506) y ROC-AUC (0.758 vs 0.743), mientras que esta última obtiene un mejor Recall (0.627 vs 0.597).</w:t>
      </w:r>
    </w:p>
    <w:p w14:paraId="5F2CC878" w14:textId="77777777" w:rsidR="00F76E21" w:rsidRPr="005061EE" w:rsidRDefault="00F76E21" w:rsidP="00CE676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F3F2E11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3.1. Figuras</w:t>
      </w:r>
    </w:p>
    <w:p w14:paraId="46CFA410" w14:textId="77777777" w:rsidR="00FD4D5F" w:rsidRPr="00CE6760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Figura 1.</w:t>
      </w:r>
      <w:r w:rsidRPr="005061EE">
        <w:rPr>
          <w:rFonts w:ascii="Arial" w:hAnsi="Arial" w:cs="Arial"/>
        </w:rPr>
        <w:t xml:space="preserve"> Distribución de la variable objetivo DEFAULT</w:t>
      </w:r>
    </w:p>
    <w:p w14:paraId="15D72FCC" w14:textId="71905D15" w:rsidR="005061EE" w:rsidRPr="005061EE" w:rsidRDefault="00FD4D5F" w:rsidP="00CE6760">
      <w:pPr>
        <w:spacing w:line="360" w:lineRule="auto"/>
        <w:jc w:val="both"/>
        <w:rPr>
          <w:rFonts w:ascii="Arial" w:hAnsi="Arial" w:cs="Arial"/>
        </w:rPr>
      </w:pPr>
      <w:r w:rsidRPr="00CE6760">
        <w:rPr>
          <w:rFonts w:ascii="Arial" w:hAnsi="Arial" w:cs="Arial"/>
          <w:noProof/>
        </w:rPr>
        <w:lastRenderedPageBreak/>
        <w:drawing>
          <wp:inline distT="0" distB="0" distL="0" distR="0" wp14:anchorId="4A4FE324" wp14:editId="7EB6F600">
            <wp:extent cx="5943600" cy="3910330"/>
            <wp:effectExtent l="0" t="0" r="0" b="0"/>
            <wp:docPr id="688721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21390" name="Imagen 6887213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1EE" w:rsidRPr="005061EE">
        <w:rPr>
          <w:rFonts w:ascii="Arial" w:hAnsi="Arial" w:cs="Arial"/>
        </w:rPr>
        <w:br/>
      </w:r>
      <w:r w:rsidR="005061EE" w:rsidRPr="005061EE">
        <w:rPr>
          <w:rFonts w:ascii="Arial" w:hAnsi="Arial" w:cs="Arial"/>
          <w:i/>
          <w:iCs/>
        </w:rPr>
        <w:t>Elaboración propia con datos del UCI Credit Card Dataset.</w:t>
      </w:r>
    </w:p>
    <w:p w14:paraId="0B636218" w14:textId="77777777" w:rsidR="00FD4D5F" w:rsidRPr="00CE6760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Figura 2.</w:t>
      </w:r>
      <w:r w:rsidRPr="005061EE">
        <w:rPr>
          <w:rFonts w:ascii="Arial" w:hAnsi="Arial" w:cs="Arial"/>
        </w:rPr>
        <w:t xml:space="preserve"> Boxplot de edad (AGE) por incumplimiento (DEFAULT)</w:t>
      </w:r>
    </w:p>
    <w:p w14:paraId="7B5174FB" w14:textId="0DEEB059" w:rsidR="005061EE" w:rsidRPr="005061EE" w:rsidRDefault="0091199F" w:rsidP="00CE6760">
      <w:pPr>
        <w:spacing w:line="360" w:lineRule="auto"/>
        <w:jc w:val="both"/>
        <w:rPr>
          <w:rFonts w:ascii="Arial" w:hAnsi="Arial" w:cs="Arial"/>
        </w:rPr>
      </w:pPr>
      <w:r w:rsidRPr="00CE6760">
        <w:rPr>
          <w:rFonts w:ascii="Arial" w:hAnsi="Arial" w:cs="Arial"/>
          <w:noProof/>
        </w:rPr>
        <w:lastRenderedPageBreak/>
        <w:drawing>
          <wp:inline distT="0" distB="0" distL="0" distR="0" wp14:anchorId="18F00127" wp14:editId="57187D03">
            <wp:extent cx="5943600" cy="4039235"/>
            <wp:effectExtent l="0" t="0" r="0" b="0"/>
            <wp:docPr id="15171129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12987" name="Imagen 15171129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1EE" w:rsidRPr="005061EE">
        <w:rPr>
          <w:rFonts w:ascii="Arial" w:hAnsi="Arial" w:cs="Arial"/>
        </w:rPr>
        <w:br/>
      </w:r>
      <w:r w:rsidR="005061EE" w:rsidRPr="005061EE">
        <w:rPr>
          <w:rFonts w:ascii="Arial" w:hAnsi="Arial" w:cs="Arial"/>
          <w:i/>
          <w:iCs/>
        </w:rPr>
        <w:t>Elaboración propia con datos del UCI Credit Card Dataset.</w:t>
      </w:r>
    </w:p>
    <w:p w14:paraId="3FD1DA79" w14:textId="77777777" w:rsidR="0091199F" w:rsidRPr="00CE6760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Figura 3.</w:t>
      </w:r>
      <w:r w:rsidRPr="005061EE">
        <w:rPr>
          <w:rFonts w:ascii="Arial" w:hAnsi="Arial" w:cs="Arial"/>
        </w:rPr>
        <w:t xml:space="preserve"> Estado de pago reciente (PAY_0) versus incumplimiento (DEFAULT)</w:t>
      </w:r>
    </w:p>
    <w:p w14:paraId="7F01B325" w14:textId="3E36BEDA" w:rsidR="005061EE" w:rsidRPr="005061EE" w:rsidRDefault="0091199F" w:rsidP="00CE6760">
      <w:pPr>
        <w:spacing w:line="360" w:lineRule="auto"/>
        <w:jc w:val="both"/>
        <w:rPr>
          <w:rFonts w:ascii="Arial" w:hAnsi="Arial" w:cs="Arial"/>
        </w:rPr>
      </w:pPr>
      <w:r w:rsidRPr="00CE6760">
        <w:rPr>
          <w:rFonts w:ascii="Arial" w:hAnsi="Arial" w:cs="Arial"/>
          <w:noProof/>
        </w:rPr>
        <w:lastRenderedPageBreak/>
        <w:drawing>
          <wp:inline distT="0" distB="0" distL="0" distR="0" wp14:anchorId="55447FF2" wp14:editId="26744F72">
            <wp:extent cx="5282195" cy="4078232"/>
            <wp:effectExtent l="0" t="0" r="0" b="0"/>
            <wp:docPr id="6163709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70938" name="Imagen 6163709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195" cy="407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1EE" w:rsidRPr="005061EE">
        <w:rPr>
          <w:rFonts w:ascii="Arial" w:hAnsi="Arial" w:cs="Arial"/>
        </w:rPr>
        <w:br/>
      </w:r>
      <w:r w:rsidR="005061EE" w:rsidRPr="005061EE">
        <w:rPr>
          <w:rFonts w:ascii="Arial" w:hAnsi="Arial" w:cs="Arial"/>
          <w:i/>
          <w:iCs/>
        </w:rPr>
        <w:t>Elaboración propia con datos del UCI Credit Card Dataset.</w:t>
      </w:r>
    </w:p>
    <w:p w14:paraId="39DDED6F" w14:textId="77777777" w:rsidR="0091199F" w:rsidRPr="00CE6760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Figura 4.</w:t>
      </w:r>
      <w:r w:rsidRPr="005061EE">
        <w:rPr>
          <w:rFonts w:ascii="Arial" w:hAnsi="Arial" w:cs="Arial"/>
        </w:rPr>
        <w:t xml:space="preserve"> Matriz de correlación de variables clave con DEFAULT</w:t>
      </w:r>
    </w:p>
    <w:p w14:paraId="7F429D48" w14:textId="7029D543" w:rsidR="005061EE" w:rsidRPr="005061EE" w:rsidRDefault="0091199F" w:rsidP="00CE6760">
      <w:pPr>
        <w:spacing w:line="360" w:lineRule="auto"/>
        <w:jc w:val="both"/>
        <w:rPr>
          <w:rFonts w:ascii="Arial" w:hAnsi="Arial" w:cs="Arial"/>
        </w:rPr>
      </w:pPr>
      <w:r w:rsidRPr="00CE6760">
        <w:rPr>
          <w:rFonts w:ascii="Arial" w:hAnsi="Arial" w:cs="Arial"/>
          <w:noProof/>
        </w:rPr>
        <w:lastRenderedPageBreak/>
        <w:drawing>
          <wp:inline distT="0" distB="0" distL="0" distR="0" wp14:anchorId="0FE76387" wp14:editId="0D343224">
            <wp:extent cx="5943600" cy="5069840"/>
            <wp:effectExtent l="0" t="0" r="0" b="0"/>
            <wp:docPr id="94701694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6946" name="Imagen 9470169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1EE" w:rsidRPr="005061EE">
        <w:rPr>
          <w:rFonts w:ascii="Arial" w:hAnsi="Arial" w:cs="Arial"/>
        </w:rPr>
        <w:br/>
      </w:r>
      <w:r w:rsidR="005061EE" w:rsidRPr="005061EE">
        <w:rPr>
          <w:rFonts w:ascii="Arial" w:hAnsi="Arial" w:cs="Arial"/>
          <w:i/>
          <w:iCs/>
        </w:rPr>
        <w:t>Elaboración propia con datos del UCI Credit Card Dataset.</w:t>
      </w:r>
    </w:p>
    <w:p w14:paraId="2A50A1B3" w14:textId="77777777" w:rsidR="0091199F" w:rsidRPr="00CE6760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Figura 5.</w:t>
      </w:r>
      <w:r w:rsidRPr="005061EE">
        <w:rPr>
          <w:rFonts w:ascii="Arial" w:hAnsi="Arial" w:cs="Arial"/>
        </w:rPr>
        <w:t xml:space="preserve"> Comparación de modelos: métricas clave</w:t>
      </w:r>
    </w:p>
    <w:p w14:paraId="3998C353" w14:textId="3B0E9E09" w:rsidR="005061EE" w:rsidRPr="005061EE" w:rsidRDefault="0091199F" w:rsidP="00CE6760">
      <w:pPr>
        <w:spacing w:line="360" w:lineRule="auto"/>
        <w:jc w:val="both"/>
        <w:rPr>
          <w:rFonts w:ascii="Arial" w:hAnsi="Arial" w:cs="Arial"/>
        </w:rPr>
      </w:pPr>
      <w:r w:rsidRPr="00CE6760">
        <w:rPr>
          <w:rFonts w:ascii="Arial" w:hAnsi="Arial" w:cs="Arial"/>
          <w:noProof/>
        </w:rPr>
        <w:lastRenderedPageBreak/>
        <w:drawing>
          <wp:inline distT="0" distB="0" distL="0" distR="0" wp14:anchorId="3AD1A28D" wp14:editId="0EB6930E">
            <wp:extent cx="5943600" cy="3545840"/>
            <wp:effectExtent l="0" t="0" r="0" b="0"/>
            <wp:docPr id="56236610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66100" name="Imagen 5623661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1EE" w:rsidRPr="005061EE">
        <w:rPr>
          <w:rFonts w:ascii="Arial" w:hAnsi="Arial" w:cs="Arial"/>
        </w:rPr>
        <w:br/>
      </w:r>
      <w:r w:rsidR="005061EE" w:rsidRPr="005061EE">
        <w:rPr>
          <w:rFonts w:ascii="Arial" w:hAnsi="Arial" w:cs="Arial"/>
          <w:i/>
          <w:iCs/>
        </w:rPr>
        <w:t>Elaboración propia con datos del UCI Credit Card Dataset.</w:t>
      </w:r>
    </w:p>
    <w:p w14:paraId="31A7C761" w14:textId="77777777" w:rsid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3.2. Tabla comparativa de métricas</w:t>
      </w:r>
    </w:p>
    <w:p w14:paraId="3D8E3494" w14:textId="0C8C1034" w:rsidR="000F496C" w:rsidRPr="005061EE" w:rsidRDefault="000F496C" w:rsidP="00CE676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Tabla 1</w:t>
      </w:r>
      <w:r w:rsidRPr="005061EE">
        <w:rPr>
          <w:rFonts w:ascii="Arial" w:hAnsi="Arial" w:cs="Arial"/>
          <w:b/>
          <w:bCs/>
        </w:rPr>
        <w:t>.</w:t>
      </w:r>
      <w:r w:rsidRPr="005061EE">
        <w:rPr>
          <w:rFonts w:ascii="Arial" w:hAnsi="Arial" w:cs="Arial"/>
        </w:rPr>
        <w:t xml:space="preserve"> Comparación de modelos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5"/>
        <w:gridCol w:w="2344"/>
        <w:gridCol w:w="2358"/>
      </w:tblGrid>
      <w:tr w:rsidR="005061EE" w:rsidRPr="005061EE" w14:paraId="7B540E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C989AE6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57B280B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Regresión Logística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0BC1A91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061EE">
              <w:rPr>
                <w:rFonts w:ascii="Arial" w:hAnsi="Arial" w:cs="Arial"/>
                <w:b/>
                <w:bCs/>
              </w:rPr>
              <w:t>Árbol de Decisiones</w:t>
            </w:r>
          </w:p>
        </w:tc>
      </w:tr>
      <w:tr w:rsidR="005061EE" w:rsidRPr="005061EE" w14:paraId="1CC81E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2AD1A90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5E0E58C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0.7298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FD30087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  <w:b/>
                <w:bCs/>
              </w:rPr>
              <w:t>0.7552</w:t>
            </w:r>
          </w:p>
        </w:tc>
      </w:tr>
      <w:tr w:rsidR="005061EE" w:rsidRPr="005061EE" w14:paraId="3B01A7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44BA2F6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Precision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4B7921B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0.4249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16CEE60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  <w:b/>
                <w:bCs/>
              </w:rPr>
              <w:t>0.4590</w:t>
            </w:r>
          </w:p>
        </w:tc>
      </w:tr>
      <w:tr w:rsidR="005061EE" w:rsidRPr="005061EE" w14:paraId="593D48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9773C11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Recall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E484664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  <w:b/>
                <w:bCs/>
              </w:rPr>
              <w:t>0.6268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5C171F3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0.5967</w:t>
            </w:r>
          </w:p>
        </w:tc>
      </w:tr>
      <w:tr w:rsidR="005061EE" w:rsidRPr="005061EE" w14:paraId="28E503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F104C93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F1-Score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F56681C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0.5065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0E4E9AA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  <w:b/>
                <w:bCs/>
              </w:rPr>
              <w:t>0.5189</w:t>
            </w:r>
          </w:p>
        </w:tc>
      </w:tr>
      <w:tr w:rsidR="005061EE" w:rsidRPr="005061EE" w14:paraId="1564D7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4BFC4A1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ROC-AUC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BE74241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</w:rPr>
              <w:t>0.7434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1E5BBDC" w14:textId="77777777" w:rsidR="005061EE" w:rsidRPr="005061EE" w:rsidRDefault="005061EE" w:rsidP="00CE676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061EE">
              <w:rPr>
                <w:rFonts w:ascii="Arial" w:hAnsi="Arial" w:cs="Arial"/>
                <w:b/>
                <w:bCs/>
              </w:rPr>
              <w:t>0.7580</w:t>
            </w:r>
          </w:p>
        </w:tc>
      </w:tr>
    </w:tbl>
    <w:p w14:paraId="727249DA" w14:textId="25881FB1" w:rsidR="00A20DC8" w:rsidRDefault="00A20DC8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i/>
          <w:iCs/>
        </w:rPr>
        <w:t>Elaboración propia con datos del UCI Credit Card Dataset.</w:t>
      </w:r>
    </w:p>
    <w:p w14:paraId="58B36303" w14:textId="4C9E5D68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3.3. Interpretación de modelos</w:t>
      </w:r>
    </w:p>
    <w:p w14:paraId="74EA4F64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Regresión Logística</w:t>
      </w:r>
    </w:p>
    <w:p w14:paraId="5BF49F58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lastRenderedPageBreak/>
        <w:t xml:space="preserve">Los coeficientes estandarizados permiten calcular </w:t>
      </w:r>
      <w:r w:rsidRPr="005061EE">
        <w:rPr>
          <w:rFonts w:ascii="Arial" w:hAnsi="Arial" w:cs="Arial"/>
          <w:i/>
          <w:iCs/>
        </w:rPr>
        <w:t>Odds Ratios</w:t>
      </w:r>
      <w:r w:rsidRPr="005061EE">
        <w:rPr>
          <w:rFonts w:ascii="Arial" w:hAnsi="Arial" w:cs="Arial"/>
        </w:rPr>
        <w:t xml:space="preserve"> (OR):</w:t>
      </w:r>
    </w:p>
    <w:p w14:paraId="5291E216" w14:textId="77777777" w:rsidR="005061EE" w:rsidRPr="005061EE" w:rsidRDefault="005061EE" w:rsidP="00CE6760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AVG_PAY_DELAY: </w:t>
      </w:r>
      <w:r w:rsidRPr="005061EE">
        <w:rPr>
          <w:rFonts w:ascii="Arial" w:hAnsi="Arial" w:cs="Arial"/>
          <w:b/>
          <w:bCs/>
        </w:rPr>
        <w:t>OR = 2.01</w:t>
      </w:r>
      <w:r w:rsidRPr="005061EE">
        <w:rPr>
          <w:rFonts w:ascii="Arial" w:hAnsi="Arial" w:cs="Arial"/>
        </w:rPr>
        <w:t xml:space="preserve"> → Un aumento de 1 mes en el retraso promedio duplica las </w:t>
      </w:r>
      <w:r w:rsidRPr="005061EE">
        <w:rPr>
          <w:rFonts w:ascii="Arial" w:hAnsi="Arial" w:cs="Arial"/>
          <w:i/>
          <w:iCs/>
        </w:rPr>
        <w:t>odds</w:t>
      </w:r>
      <w:r w:rsidRPr="005061EE">
        <w:rPr>
          <w:rFonts w:ascii="Arial" w:hAnsi="Arial" w:cs="Arial"/>
        </w:rPr>
        <w:t xml:space="preserve"> de incumplimiento.</w:t>
      </w:r>
    </w:p>
    <w:p w14:paraId="419B4E25" w14:textId="77777777" w:rsidR="005061EE" w:rsidRPr="005061EE" w:rsidRDefault="005061EE" w:rsidP="00CE6760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PAY_0: </w:t>
      </w:r>
      <w:r w:rsidRPr="005061EE">
        <w:rPr>
          <w:rFonts w:ascii="Arial" w:hAnsi="Arial" w:cs="Arial"/>
          <w:b/>
          <w:bCs/>
        </w:rPr>
        <w:t>OR = 1.31</w:t>
      </w:r>
      <w:r w:rsidRPr="005061EE">
        <w:rPr>
          <w:rFonts w:ascii="Arial" w:hAnsi="Arial" w:cs="Arial"/>
        </w:rPr>
        <w:t xml:space="preserve"> → Un aumento de 1 nivel en el estado de pago (ej. de 0 a 1 mes de retraso) incrementa las </w:t>
      </w:r>
      <w:r w:rsidRPr="005061EE">
        <w:rPr>
          <w:rFonts w:ascii="Arial" w:hAnsi="Arial" w:cs="Arial"/>
          <w:i/>
          <w:iCs/>
        </w:rPr>
        <w:t>odds</w:t>
      </w:r>
      <w:r w:rsidRPr="005061EE">
        <w:rPr>
          <w:rFonts w:ascii="Arial" w:hAnsi="Arial" w:cs="Arial"/>
        </w:rPr>
        <w:t xml:space="preserve"> en 31%.</w:t>
      </w:r>
    </w:p>
    <w:p w14:paraId="7E11A759" w14:textId="77777777" w:rsidR="005061EE" w:rsidRPr="005061EE" w:rsidRDefault="005061EE" w:rsidP="00CE6760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LIMIT_BAL: </w:t>
      </w:r>
      <w:r w:rsidRPr="005061EE">
        <w:rPr>
          <w:rFonts w:ascii="Arial" w:hAnsi="Arial" w:cs="Arial"/>
          <w:b/>
          <w:bCs/>
        </w:rPr>
        <w:t>OR = 0.83</w:t>
      </w:r>
      <w:r w:rsidRPr="005061EE">
        <w:rPr>
          <w:rFonts w:ascii="Arial" w:hAnsi="Arial" w:cs="Arial"/>
        </w:rPr>
        <w:t xml:space="preserve"> → Un aumento de 1 unidad en el límite reduce las </w:t>
      </w:r>
      <w:r w:rsidRPr="005061EE">
        <w:rPr>
          <w:rFonts w:ascii="Arial" w:hAnsi="Arial" w:cs="Arial"/>
          <w:i/>
          <w:iCs/>
        </w:rPr>
        <w:t>odds</w:t>
      </w:r>
      <w:r w:rsidRPr="005061EE">
        <w:rPr>
          <w:rFonts w:ascii="Arial" w:hAnsi="Arial" w:cs="Arial"/>
        </w:rPr>
        <w:t xml:space="preserve"> en 17%.</w:t>
      </w:r>
    </w:p>
    <w:p w14:paraId="064DED3C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Árbol de Decisiones</w:t>
      </w:r>
    </w:p>
    <w:p w14:paraId="7692B97C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La importancia relativa de variables (basada en la reducción de impureza):</w:t>
      </w:r>
    </w:p>
    <w:p w14:paraId="75E2CE11" w14:textId="77777777" w:rsidR="005061EE" w:rsidRPr="005061EE" w:rsidRDefault="005061EE" w:rsidP="00CE676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AVG_PAY_DELAY: </w:t>
      </w:r>
      <w:r w:rsidRPr="005061EE">
        <w:rPr>
          <w:rFonts w:ascii="Arial" w:hAnsi="Arial" w:cs="Arial"/>
          <w:b/>
          <w:bCs/>
        </w:rPr>
        <w:t>66.0%</w:t>
      </w:r>
    </w:p>
    <w:p w14:paraId="1908647B" w14:textId="77777777" w:rsidR="005061EE" w:rsidRPr="005061EE" w:rsidRDefault="005061EE" w:rsidP="00CE676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PAY_0: </w:t>
      </w:r>
      <w:r w:rsidRPr="005061EE">
        <w:rPr>
          <w:rFonts w:ascii="Arial" w:hAnsi="Arial" w:cs="Arial"/>
          <w:b/>
          <w:bCs/>
        </w:rPr>
        <w:t>9.8%</w:t>
      </w:r>
    </w:p>
    <w:p w14:paraId="7203715C" w14:textId="77777777" w:rsidR="005061EE" w:rsidRPr="005061EE" w:rsidRDefault="005061EE" w:rsidP="00CE676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BILL_AMT1: </w:t>
      </w:r>
      <w:r w:rsidRPr="005061EE">
        <w:rPr>
          <w:rFonts w:ascii="Arial" w:hAnsi="Arial" w:cs="Arial"/>
          <w:b/>
          <w:bCs/>
        </w:rPr>
        <w:t>9.0%</w:t>
      </w:r>
    </w:p>
    <w:p w14:paraId="0920DCD9" w14:textId="77777777" w:rsidR="005061EE" w:rsidRPr="005061EE" w:rsidRDefault="005061EE" w:rsidP="00CE676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LIMIT_BAL: </w:t>
      </w:r>
      <w:r w:rsidRPr="005061EE">
        <w:rPr>
          <w:rFonts w:ascii="Arial" w:hAnsi="Arial" w:cs="Arial"/>
          <w:b/>
          <w:bCs/>
        </w:rPr>
        <w:t>3.7%</w:t>
      </w:r>
    </w:p>
    <w:p w14:paraId="414B452A" w14:textId="7DD19E5A" w:rsidR="005061EE" w:rsidRPr="005061EE" w:rsidRDefault="005061EE" w:rsidP="00CE676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PAY_2: </w:t>
      </w:r>
      <w:r w:rsidRPr="005061EE">
        <w:rPr>
          <w:rFonts w:ascii="Arial" w:hAnsi="Arial" w:cs="Arial"/>
          <w:b/>
          <w:bCs/>
        </w:rPr>
        <w:t>2.1%</w:t>
      </w:r>
    </w:p>
    <w:p w14:paraId="7FA94155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4. Conclusiones</w:t>
      </w:r>
    </w:p>
    <w:p w14:paraId="4917BF8D" w14:textId="77777777" w:rsidR="00571A22" w:rsidRPr="00571A22" w:rsidRDefault="00571A22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71A22">
        <w:rPr>
          <w:rFonts w:ascii="Arial" w:hAnsi="Arial" w:cs="Arial"/>
          <w:b/>
          <w:bCs/>
        </w:rPr>
        <w:t>4.1. Selección del modelo y explicación de la elección</w:t>
      </w:r>
    </w:p>
    <w:p w14:paraId="2F1C5542" w14:textId="77777777" w:rsidR="00571A22" w:rsidRPr="00571A22" w:rsidRDefault="00571A22" w:rsidP="00CE6760">
      <w:pPr>
        <w:spacing w:line="360" w:lineRule="auto"/>
        <w:jc w:val="both"/>
        <w:rPr>
          <w:rFonts w:ascii="Arial" w:hAnsi="Arial" w:cs="Arial"/>
        </w:rPr>
      </w:pPr>
      <w:r w:rsidRPr="00571A22">
        <w:rPr>
          <w:rFonts w:ascii="Arial" w:hAnsi="Arial" w:cs="Arial"/>
        </w:rPr>
        <w:t xml:space="preserve">Se selecciona el </w:t>
      </w:r>
      <w:r w:rsidRPr="00571A22">
        <w:rPr>
          <w:rFonts w:ascii="Arial" w:hAnsi="Arial" w:cs="Arial"/>
          <w:b/>
          <w:bCs/>
        </w:rPr>
        <w:t>Árbol de Decisiones</w:t>
      </w:r>
      <w:r w:rsidRPr="00571A22">
        <w:rPr>
          <w:rFonts w:ascii="Arial" w:hAnsi="Arial" w:cs="Arial"/>
        </w:rPr>
        <w:t xml:space="preserve"> como modelo final, basado en:</w:t>
      </w:r>
    </w:p>
    <w:p w14:paraId="6CFF9CA4" w14:textId="77777777" w:rsidR="00571A22" w:rsidRPr="00571A22" w:rsidRDefault="00571A22" w:rsidP="00CE676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571A22">
        <w:rPr>
          <w:rFonts w:ascii="Arial" w:hAnsi="Arial" w:cs="Arial"/>
          <w:b/>
          <w:bCs/>
        </w:rPr>
        <w:t>Superioridad en F1-Score (0.5189 vs 0.5065):</w:t>
      </w:r>
      <w:r w:rsidRPr="00571A22">
        <w:rPr>
          <w:rFonts w:ascii="Arial" w:hAnsi="Arial" w:cs="Arial"/>
        </w:rPr>
        <w:t xml:space="preserve"> métrica prioritaria en problemas desbalanceados, ya que equilibra </w:t>
      </w:r>
      <w:r w:rsidRPr="00571A22">
        <w:rPr>
          <w:rFonts w:ascii="Arial" w:hAnsi="Arial" w:cs="Arial"/>
          <w:i/>
          <w:iCs/>
        </w:rPr>
        <w:t>Precision</w:t>
      </w:r>
      <w:r w:rsidRPr="00571A22">
        <w:rPr>
          <w:rFonts w:ascii="Arial" w:hAnsi="Arial" w:cs="Arial"/>
        </w:rPr>
        <w:t xml:space="preserve"> y </w:t>
      </w:r>
      <w:r w:rsidRPr="00571A22">
        <w:rPr>
          <w:rFonts w:ascii="Arial" w:hAnsi="Arial" w:cs="Arial"/>
          <w:i/>
          <w:iCs/>
        </w:rPr>
        <w:t>Recall</w:t>
      </w:r>
      <w:r w:rsidRPr="00571A22">
        <w:rPr>
          <w:rFonts w:ascii="Arial" w:hAnsi="Arial" w:cs="Arial"/>
        </w:rPr>
        <w:t>.</w:t>
      </w:r>
    </w:p>
    <w:p w14:paraId="25292D5A" w14:textId="3E5B1DC2" w:rsidR="00571A22" w:rsidRPr="00571A22" w:rsidRDefault="00571A22" w:rsidP="00CE676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571A22">
        <w:rPr>
          <w:rFonts w:ascii="Arial" w:hAnsi="Arial" w:cs="Arial"/>
          <w:b/>
          <w:bCs/>
        </w:rPr>
        <w:t>Mayor ROC-AUC (0.7580 vs 0.7434):</w:t>
      </w:r>
      <w:r w:rsidRPr="00571A22">
        <w:rPr>
          <w:rFonts w:ascii="Arial" w:hAnsi="Arial" w:cs="Arial"/>
        </w:rPr>
        <w:t xml:space="preserve"> indica mejor capacidad global de discriminación, independiente del umbral de decisión. </w:t>
      </w:r>
      <w:r w:rsidRPr="00571A22">
        <w:rPr>
          <w:rFonts w:ascii="Arial" w:hAnsi="Arial" w:cs="Arial"/>
          <w:i/>
          <w:iCs/>
        </w:rPr>
        <w:t>Este resultado es consistente con</w:t>
      </w:r>
      <w:r w:rsidR="00CE6760" w:rsidRPr="00CE6760">
        <w:rPr>
          <w:rFonts w:ascii="Arial" w:hAnsi="Arial" w:cs="Arial"/>
          <w:i/>
          <w:iCs/>
          <w:noProof/>
        </w:rPr>
        <w:t xml:space="preserve"> los hallazgos de </w:t>
      </w:r>
      <w:r w:rsidR="00CE6760" w:rsidRPr="00CE6760">
        <w:rPr>
          <w:rFonts w:ascii="Arial" w:hAnsi="Arial" w:cs="Arial"/>
          <w:noProof/>
        </w:rPr>
        <w:t>Yeh I. C.(2009)</w:t>
      </w:r>
      <w:r w:rsidRPr="00571A22">
        <w:rPr>
          <w:rFonts w:ascii="Arial" w:hAnsi="Arial" w:cs="Arial"/>
          <w:i/>
          <w:iCs/>
        </w:rPr>
        <w:t>, quienes, en el mismo dataset, reportan AUC = 0.758 para árboles de decisión y concluyen que ofrecen un equilibrio óptimo entre desempeño predictivo e interpretabilidad en scoring crediticio.</w:t>
      </w:r>
    </w:p>
    <w:p w14:paraId="37BD8D38" w14:textId="77777777" w:rsidR="00571A22" w:rsidRPr="00571A22" w:rsidRDefault="00571A22" w:rsidP="00CE676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571A22">
        <w:rPr>
          <w:rFonts w:ascii="Arial" w:hAnsi="Arial" w:cs="Arial"/>
          <w:b/>
          <w:bCs/>
        </w:rPr>
        <w:lastRenderedPageBreak/>
        <w:t>Alta interpretabilidad</w:t>
      </w:r>
      <w:r w:rsidRPr="00571A22">
        <w:rPr>
          <w:rFonts w:ascii="Arial" w:hAnsi="Arial" w:cs="Arial"/>
        </w:rPr>
        <w:t xml:space="preserve">: genera reglas intuitivas (ej. </w:t>
      </w:r>
      <w:r w:rsidRPr="00571A22">
        <w:rPr>
          <w:rFonts w:ascii="Arial" w:hAnsi="Arial" w:cs="Arial"/>
          <w:i/>
          <w:iCs/>
        </w:rPr>
        <w:t>"clientes con retrasos recurrentes tienen alto riesgo"</w:t>
      </w:r>
      <w:r w:rsidRPr="00571A22">
        <w:rPr>
          <w:rFonts w:ascii="Arial" w:hAnsi="Arial" w:cs="Arial"/>
        </w:rPr>
        <w:t>), crucial para la toma de decisiones en entornos crediticios.</w:t>
      </w:r>
    </w:p>
    <w:p w14:paraId="7DDF67AB" w14:textId="77777777" w:rsidR="00571A22" w:rsidRPr="00571A22" w:rsidRDefault="00571A22" w:rsidP="00CE676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571A22">
        <w:rPr>
          <w:rFonts w:ascii="Arial" w:hAnsi="Arial" w:cs="Arial"/>
          <w:b/>
          <w:bCs/>
        </w:rPr>
        <w:t>Robustez a no linealidades:</w:t>
      </w:r>
      <w:r w:rsidRPr="00571A22">
        <w:rPr>
          <w:rFonts w:ascii="Arial" w:hAnsi="Arial" w:cs="Arial"/>
        </w:rPr>
        <w:t xml:space="preserve"> captura interacciones complejas sin requerir especificación manual.</w:t>
      </w:r>
    </w:p>
    <w:p w14:paraId="7E991283" w14:textId="77777777" w:rsidR="00571A22" w:rsidRPr="00571A22" w:rsidRDefault="00571A22" w:rsidP="00CE6760">
      <w:pPr>
        <w:spacing w:line="360" w:lineRule="auto"/>
        <w:jc w:val="both"/>
        <w:rPr>
          <w:rFonts w:ascii="Arial" w:hAnsi="Arial" w:cs="Arial"/>
        </w:rPr>
      </w:pPr>
      <w:r w:rsidRPr="00571A22">
        <w:rPr>
          <w:rFonts w:ascii="Arial" w:hAnsi="Arial" w:cs="Arial"/>
        </w:rPr>
        <w:t xml:space="preserve">Aunque la Regresión Logística obtiene un mejor </w:t>
      </w:r>
      <w:r w:rsidRPr="00571A22">
        <w:rPr>
          <w:rFonts w:ascii="Arial" w:hAnsi="Arial" w:cs="Arial"/>
          <w:i/>
          <w:iCs/>
        </w:rPr>
        <w:t>Recall</w:t>
      </w:r>
      <w:r w:rsidRPr="00571A22">
        <w:rPr>
          <w:rFonts w:ascii="Arial" w:hAnsi="Arial" w:cs="Arial"/>
        </w:rPr>
        <w:t xml:space="preserve"> (0.6268 vs 0.5967), el F1-Score es preferible como criterio de selección en este contexto, dado que un exceso de falsas alarmas (baja </w:t>
      </w:r>
      <w:r w:rsidRPr="00571A22">
        <w:rPr>
          <w:rFonts w:ascii="Arial" w:hAnsi="Arial" w:cs="Arial"/>
          <w:i/>
          <w:iCs/>
        </w:rPr>
        <w:t>Precision</w:t>
      </w:r>
      <w:r w:rsidRPr="00571A22">
        <w:rPr>
          <w:rFonts w:ascii="Arial" w:hAnsi="Arial" w:cs="Arial"/>
        </w:rPr>
        <w:t>) también tiene costos operativos significativos.</w:t>
      </w:r>
    </w:p>
    <w:p w14:paraId="03090A58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4.2. Consideraciones finales, hallazgos y recomendaciones</w:t>
      </w:r>
    </w:p>
    <w:p w14:paraId="0CDE8C6B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Hallazgos clave</w:t>
      </w:r>
    </w:p>
    <w:p w14:paraId="50BD8C0F" w14:textId="77777777" w:rsidR="005061EE" w:rsidRPr="005061EE" w:rsidRDefault="005061EE" w:rsidP="00CE6760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El predictor más influyente es AVG_PAY_DELAY (66.0% de importancia), confirmando que el </w:t>
      </w:r>
      <w:r w:rsidRPr="005061EE">
        <w:rPr>
          <w:rFonts w:ascii="Arial" w:hAnsi="Arial" w:cs="Arial"/>
          <w:b/>
          <w:bCs/>
        </w:rPr>
        <w:t>historial acumulado de retrasos</w:t>
      </w:r>
      <w:r w:rsidRPr="005061EE">
        <w:rPr>
          <w:rFonts w:ascii="Arial" w:hAnsi="Arial" w:cs="Arial"/>
        </w:rPr>
        <w:t xml:space="preserve"> es más informativo que un solo mes (PAY_0).</w:t>
      </w:r>
    </w:p>
    <w:p w14:paraId="12B30C36" w14:textId="77777777" w:rsidR="005061EE" w:rsidRPr="005061EE" w:rsidRDefault="005061EE" w:rsidP="00CE6760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La correlación de PAY_0 con DEFAULT (</w:t>
      </w:r>
      <w:r w:rsidRPr="005061EE">
        <w:rPr>
          <w:rFonts w:ascii="Arial" w:hAnsi="Arial" w:cs="Arial"/>
          <w:b/>
          <w:bCs/>
        </w:rPr>
        <w:t>r = +0.325</w:t>
      </w:r>
      <w:r w:rsidRPr="005061EE">
        <w:rPr>
          <w:rFonts w:ascii="Arial" w:hAnsi="Arial" w:cs="Arial"/>
        </w:rPr>
        <w:t>) es la más alta entre todas las variables, validando su uso como indicador temprano de riesgo.</w:t>
      </w:r>
    </w:p>
    <w:p w14:paraId="79E825F7" w14:textId="77777777" w:rsidR="005061EE" w:rsidRPr="005061EE" w:rsidRDefault="005061EE" w:rsidP="00CE6760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>El modelo logra un poder predictivo sólido (AUC = 0.758), alineado con benchmarks industriales para modelos de scoring en tarjetas de crédito.</w:t>
      </w:r>
    </w:p>
    <w:p w14:paraId="5A057754" w14:textId="77777777" w:rsidR="005061EE" w:rsidRPr="005061EE" w:rsidRDefault="005061EE" w:rsidP="00CE6760">
      <w:pPr>
        <w:spacing w:line="360" w:lineRule="auto"/>
        <w:jc w:val="both"/>
        <w:rPr>
          <w:rFonts w:ascii="Arial" w:hAnsi="Arial" w:cs="Arial"/>
          <w:b/>
          <w:bCs/>
        </w:rPr>
      </w:pPr>
      <w:r w:rsidRPr="005061EE">
        <w:rPr>
          <w:rFonts w:ascii="Arial" w:hAnsi="Arial" w:cs="Arial"/>
          <w:b/>
          <w:bCs/>
        </w:rPr>
        <w:t>Recomendaciones</w:t>
      </w:r>
    </w:p>
    <w:p w14:paraId="1EBFC26F" w14:textId="77777777" w:rsidR="005061EE" w:rsidRPr="005061EE" w:rsidRDefault="005061EE" w:rsidP="00CE6760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Implementar el Árbol de Decisiones como sistema de scoring automatizado</w:t>
      </w:r>
      <w:r w:rsidRPr="005061EE">
        <w:rPr>
          <w:rFonts w:ascii="Arial" w:hAnsi="Arial" w:cs="Arial"/>
        </w:rPr>
        <w:t xml:space="preserve"> para priorizar revisiones manuales.</w:t>
      </w:r>
    </w:p>
    <w:p w14:paraId="3D92EBE6" w14:textId="77777777" w:rsidR="005061EE" w:rsidRPr="005061EE" w:rsidRDefault="005061EE" w:rsidP="00CE6760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Monitorear activamente clientes con PAY_0 ≥ 2</w:t>
      </w:r>
      <w:r w:rsidRPr="005061EE">
        <w:rPr>
          <w:rFonts w:ascii="Arial" w:hAnsi="Arial" w:cs="Arial"/>
        </w:rPr>
        <w:t>, ya que presentan una proporción significativamente mayor de defaults (ver Figura 3).</w:t>
      </w:r>
    </w:p>
    <w:p w14:paraId="4870ACA6" w14:textId="77777777" w:rsidR="005061EE" w:rsidRPr="005061EE" w:rsidRDefault="005061EE" w:rsidP="00CE6760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Evaluar políticas de crédito para clientes con UTILIZATION_RATIO &gt; 1</w:t>
      </w:r>
      <w:r w:rsidRPr="005061EE">
        <w:rPr>
          <w:rFonts w:ascii="Arial" w:hAnsi="Arial" w:cs="Arial"/>
        </w:rPr>
        <w:t xml:space="preserve"> (sobregirados), dado su mayor riesgo.</w:t>
      </w:r>
    </w:p>
    <w:p w14:paraId="259C2AD5" w14:textId="77777777" w:rsidR="005061EE" w:rsidRPr="005061EE" w:rsidRDefault="005061EE" w:rsidP="00CE6760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Ajustar el umbral de decisión</w:t>
      </w:r>
      <w:r w:rsidRPr="005061EE">
        <w:rPr>
          <w:rFonts w:ascii="Arial" w:hAnsi="Arial" w:cs="Arial"/>
        </w:rPr>
        <w:t xml:space="preserve"> si la prioridad cambia:</w:t>
      </w:r>
    </w:p>
    <w:p w14:paraId="7323EEA3" w14:textId="77777777" w:rsidR="005061EE" w:rsidRPr="005061EE" w:rsidRDefault="005061EE" w:rsidP="00CE6760">
      <w:pPr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t xml:space="preserve">Para maximizar </w:t>
      </w:r>
      <w:r w:rsidRPr="005061EE">
        <w:rPr>
          <w:rFonts w:ascii="Arial" w:hAnsi="Arial" w:cs="Arial"/>
          <w:b/>
          <w:bCs/>
        </w:rPr>
        <w:t>Recall</w:t>
      </w:r>
      <w:r w:rsidRPr="005061EE">
        <w:rPr>
          <w:rFonts w:ascii="Arial" w:hAnsi="Arial" w:cs="Arial"/>
        </w:rPr>
        <w:t xml:space="preserve"> (detectar más defaults): usar umbral &lt; 0.5 (ej. 0.3).</w:t>
      </w:r>
    </w:p>
    <w:p w14:paraId="4486EB6F" w14:textId="77777777" w:rsidR="005061EE" w:rsidRPr="005061EE" w:rsidRDefault="005061EE" w:rsidP="00CE6760">
      <w:pPr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</w:rPr>
        <w:lastRenderedPageBreak/>
        <w:t xml:space="preserve">Para maximizar </w:t>
      </w:r>
      <w:r w:rsidRPr="005061EE">
        <w:rPr>
          <w:rFonts w:ascii="Arial" w:hAnsi="Arial" w:cs="Arial"/>
          <w:b/>
          <w:bCs/>
        </w:rPr>
        <w:t>Precision</w:t>
      </w:r>
      <w:r w:rsidRPr="005061EE">
        <w:rPr>
          <w:rFonts w:ascii="Arial" w:hAnsi="Arial" w:cs="Arial"/>
        </w:rPr>
        <w:t xml:space="preserve"> (reducir falsas alarmas): usar umbral &gt; 0.5 (ej. 0.7).</w:t>
      </w:r>
    </w:p>
    <w:p w14:paraId="0702E3DC" w14:textId="77777777" w:rsidR="005061EE" w:rsidRPr="005061EE" w:rsidRDefault="005061EE" w:rsidP="00CE6760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5061EE">
        <w:rPr>
          <w:rFonts w:ascii="Arial" w:hAnsi="Arial" w:cs="Arial"/>
          <w:b/>
          <w:bCs/>
        </w:rPr>
        <w:t>Reentrenar el modelo trimestralmente</w:t>
      </w:r>
      <w:r w:rsidRPr="005061EE">
        <w:rPr>
          <w:rFonts w:ascii="Arial" w:hAnsi="Arial" w:cs="Arial"/>
        </w:rPr>
        <w:t xml:space="preserve"> con nuevos datos para mantener su vigencia.</w:t>
      </w:r>
    </w:p>
    <w:sdt>
      <w:sdtPr>
        <w:id w:val="-70794987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55BB43C6" w14:textId="2EDFD0B5" w:rsidR="009966FE" w:rsidRPr="009966FE" w:rsidRDefault="009966FE" w:rsidP="009966FE">
          <w:pPr>
            <w:pStyle w:val="Ttulo1"/>
            <w:spacing w:line="360" w:lineRule="auto"/>
            <w:jc w:val="both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9966FE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B</w:t>
          </w:r>
          <w:r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IBLIOGRAF</w:t>
          </w:r>
          <w:r w:rsidR="00915DA7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Í</w:t>
          </w:r>
          <w:r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A</w:t>
          </w:r>
        </w:p>
        <w:sdt>
          <w:sdtPr>
            <w:rPr>
              <w:rFonts w:ascii="Arial" w:hAnsi="Arial" w:cs="Arial"/>
            </w:rPr>
            <w:id w:val="111145805"/>
            <w:bibliography/>
          </w:sdtPr>
          <w:sdtEndPr>
            <w:rPr>
              <w:rFonts w:asciiTheme="minorHAnsi" w:hAnsiTheme="minorHAnsi" w:cstheme="minorBidi"/>
            </w:rPr>
          </w:sdtEndPr>
          <w:sdtContent>
            <w:p w14:paraId="4823D896" w14:textId="77777777" w:rsidR="009966FE" w:rsidRPr="009966FE" w:rsidRDefault="009966FE" w:rsidP="009966FE">
              <w:pPr>
                <w:pStyle w:val="Bibliografa"/>
                <w:spacing w:line="360" w:lineRule="auto"/>
                <w:ind w:left="720" w:hanging="720"/>
                <w:jc w:val="both"/>
                <w:rPr>
                  <w:rFonts w:ascii="Arial" w:hAnsi="Arial" w:cs="Arial"/>
                  <w:noProof/>
                  <w:kern w:val="0"/>
                  <w:lang w:val="en-US"/>
                  <w14:ligatures w14:val="none"/>
                </w:rPr>
              </w:pPr>
              <w:r w:rsidRPr="009966FE">
                <w:rPr>
                  <w:rFonts w:ascii="Arial" w:hAnsi="Arial" w:cs="Arial"/>
                </w:rPr>
                <w:fldChar w:fldCharType="begin"/>
              </w:r>
              <w:r w:rsidRPr="009966FE">
                <w:rPr>
                  <w:rFonts w:ascii="Arial" w:hAnsi="Arial" w:cs="Arial"/>
                </w:rPr>
                <w:instrText>BIBLIOGRAPHY</w:instrText>
              </w:r>
              <w:r w:rsidRPr="009966FE">
                <w:rPr>
                  <w:rFonts w:ascii="Arial" w:hAnsi="Arial" w:cs="Arial"/>
                </w:rPr>
                <w:fldChar w:fldCharType="separate"/>
              </w:r>
              <w:r w:rsidRPr="009966FE">
                <w:rPr>
                  <w:rFonts w:ascii="Arial" w:hAnsi="Arial" w:cs="Arial"/>
                  <w:noProof/>
                </w:rPr>
                <w:t xml:space="preserve">Lessmann, S., Hsin-Vonn, S., Baesens, B., &amp; Thomas, L. C. (01 de 01 de 2003). </w:t>
              </w:r>
              <w:r w:rsidRPr="009966FE">
                <w:rPr>
                  <w:rFonts w:ascii="Arial" w:hAnsi="Arial" w:cs="Arial"/>
                  <w:i/>
                  <w:iCs/>
                  <w:noProof/>
                  <w:lang w:val="en-US"/>
                </w:rPr>
                <w:t>Benchmarking state-of-the-art classification algorithms for credit.</w:t>
              </w:r>
              <w:r w:rsidRPr="009966FE">
                <w:rPr>
                  <w:rFonts w:ascii="Arial" w:hAnsi="Arial" w:cs="Arial"/>
                  <w:noProof/>
                  <w:lang w:val="en-US"/>
                </w:rPr>
                <w:t xml:space="preserve"> Obtenido de Journal of the Operational Research Society: https://cer.business-school.ed.ac.uk/wp-content/uploads/sites/55/2017/02/Benchmarking-State-of-the-Art-Classification-Algorithms-for-Credit-Scoring-Lessmann-Seow-Baesens-and-Thomas.pdf</w:t>
              </w:r>
            </w:p>
            <w:p w14:paraId="2238C8F6" w14:textId="77777777" w:rsidR="009966FE" w:rsidRPr="009966FE" w:rsidRDefault="009966FE" w:rsidP="009966FE">
              <w:pPr>
                <w:pStyle w:val="Bibliografa"/>
                <w:spacing w:line="360" w:lineRule="auto"/>
                <w:ind w:left="720" w:hanging="720"/>
                <w:jc w:val="both"/>
                <w:rPr>
                  <w:rFonts w:ascii="Arial" w:hAnsi="Arial" w:cs="Arial"/>
                  <w:noProof/>
                  <w:lang w:val="en-US"/>
                </w:rPr>
              </w:pPr>
              <w:r w:rsidRPr="009966FE">
                <w:rPr>
                  <w:rFonts w:ascii="Arial" w:hAnsi="Arial" w:cs="Arial"/>
                  <w:noProof/>
                  <w:lang w:val="en-US"/>
                </w:rPr>
                <w:t xml:space="preserve">Yeh, I. (01 de 01 de 2009). </w:t>
              </w:r>
              <w:r w:rsidRPr="009966FE">
                <w:rPr>
                  <w:rFonts w:ascii="Arial" w:hAnsi="Arial" w:cs="Arial"/>
                  <w:i/>
                  <w:iCs/>
                  <w:noProof/>
                  <w:lang w:val="en-US"/>
                </w:rPr>
                <w:t>UCI Machine Learning Repository.</w:t>
              </w:r>
              <w:r w:rsidRPr="009966FE">
                <w:rPr>
                  <w:rFonts w:ascii="Arial" w:hAnsi="Arial" w:cs="Arial"/>
                  <w:noProof/>
                  <w:lang w:val="en-US"/>
                </w:rPr>
                <w:t xml:space="preserve"> doi:https://doi.org/10.24432/C55S3H</w:t>
              </w:r>
            </w:p>
            <w:p w14:paraId="7782505E" w14:textId="77777777" w:rsidR="009966FE" w:rsidRPr="009966FE" w:rsidRDefault="009966FE" w:rsidP="009966FE">
              <w:pPr>
                <w:pStyle w:val="Bibliografa"/>
                <w:spacing w:line="360" w:lineRule="auto"/>
                <w:ind w:left="720" w:hanging="720"/>
                <w:jc w:val="both"/>
                <w:rPr>
                  <w:rFonts w:ascii="Arial" w:hAnsi="Arial" w:cs="Arial"/>
                  <w:noProof/>
                </w:rPr>
              </w:pPr>
              <w:r w:rsidRPr="009966FE">
                <w:rPr>
                  <w:rFonts w:ascii="Arial" w:hAnsi="Arial" w:cs="Arial"/>
                  <w:noProof/>
                </w:rPr>
                <w:t xml:space="preserve">Yeh, I. C. (1 de marzo de 2009). </w:t>
              </w:r>
              <w:r w:rsidRPr="009966FE">
                <w:rPr>
                  <w:rFonts w:ascii="Arial" w:hAnsi="Arial" w:cs="Arial"/>
                  <w:noProof/>
                  <w:lang w:val="en-US"/>
                </w:rPr>
                <w:t xml:space="preserve">The comparisons of data mining techniques for the predictive accuracy of probability of default of credit card clients. </w:t>
              </w:r>
              <w:r w:rsidRPr="009966FE">
                <w:rPr>
                  <w:rFonts w:ascii="Arial" w:hAnsi="Arial" w:cs="Arial"/>
                  <w:i/>
                  <w:iCs/>
                  <w:noProof/>
                </w:rPr>
                <w:t>ELSEVIER, 36</w:t>
              </w:r>
              <w:r w:rsidRPr="009966FE">
                <w:rPr>
                  <w:rFonts w:ascii="Arial" w:hAnsi="Arial" w:cs="Arial"/>
                  <w:noProof/>
                </w:rPr>
                <w:t>(2, part1), 2473-2480. doi:https://doi.org/10.1016/j.eswa.2007.12.020</w:t>
              </w:r>
            </w:p>
            <w:p w14:paraId="0C23E10B" w14:textId="6DC3777C" w:rsidR="009966FE" w:rsidRDefault="009966FE" w:rsidP="009966FE">
              <w:pPr>
                <w:spacing w:line="360" w:lineRule="auto"/>
                <w:jc w:val="both"/>
              </w:pPr>
              <w:r w:rsidRPr="009966FE">
                <w:rPr>
                  <w:rFonts w:ascii="Arial" w:hAnsi="Arial" w:cs="Arial"/>
                  <w:b/>
                  <w:bCs/>
                </w:rPr>
                <w:fldChar w:fldCharType="end"/>
              </w:r>
            </w:p>
          </w:sdtContent>
        </w:sdt>
      </w:sdtContent>
    </w:sdt>
    <w:p w14:paraId="3D8BA730" w14:textId="77777777" w:rsidR="0064794A" w:rsidRDefault="0064794A" w:rsidP="00CE6760">
      <w:pPr>
        <w:spacing w:line="360" w:lineRule="auto"/>
        <w:jc w:val="both"/>
        <w:rPr>
          <w:rFonts w:ascii="Arial" w:hAnsi="Arial" w:cs="Arial"/>
        </w:rPr>
      </w:pPr>
    </w:p>
    <w:p w14:paraId="20CFAA91" w14:textId="77777777" w:rsidR="00915DA7" w:rsidRPr="00CE6760" w:rsidRDefault="00915DA7" w:rsidP="00CE6760">
      <w:pPr>
        <w:spacing w:line="360" w:lineRule="auto"/>
        <w:jc w:val="both"/>
        <w:rPr>
          <w:rFonts w:ascii="Arial" w:hAnsi="Arial" w:cs="Arial"/>
        </w:rPr>
      </w:pPr>
    </w:p>
    <w:sectPr w:rsidR="00915DA7" w:rsidRPr="00CE6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0B4B"/>
    <w:multiLevelType w:val="multilevel"/>
    <w:tmpl w:val="E14E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00B82"/>
    <w:multiLevelType w:val="multilevel"/>
    <w:tmpl w:val="46AC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530F"/>
    <w:multiLevelType w:val="multilevel"/>
    <w:tmpl w:val="35B8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C0F8F"/>
    <w:multiLevelType w:val="multilevel"/>
    <w:tmpl w:val="0342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F502B"/>
    <w:multiLevelType w:val="multilevel"/>
    <w:tmpl w:val="80CA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90258"/>
    <w:multiLevelType w:val="multilevel"/>
    <w:tmpl w:val="2B7E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E33FB"/>
    <w:multiLevelType w:val="multilevel"/>
    <w:tmpl w:val="BB54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B5189"/>
    <w:multiLevelType w:val="multilevel"/>
    <w:tmpl w:val="7998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B42A46"/>
    <w:multiLevelType w:val="multilevel"/>
    <w:tmpl w:val="F02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748C0"/>
    <w:multiLevelType w:val="multilevel"/>
    <w:tmpl w:val="8458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C04D3"/>
    <w:multiLevelType w:val="multilevel"/>
    <w:tmpl w:val="93BA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6276F"/>
    <w:multiLevelType w:val="multilevel"/>
    <w:tmpl w:val="2978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903A40"/>
    <w:multiLevelType w:val="multilevel"/>
    <w:tmpl w:val="B094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5582B"/>
    <w:multiLevelType w:val="multilevel"/>
    <w:tmpl w:val="4B7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E06D6"/>
    <w:multiLevelType w:val="multilevel"/>
    <w:tmpl w:val="F0BE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B65A6A"/>
    <w:multiLevelType w:val="multilevel"/>
    <w:tmpl w:val="C00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07EF1"/>
    <w:multiLevelType w:val="multilevel"/>
    <w:tmpl w:val="5430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01AA3"/>
    <w:multiLevelType w:val="multilevel"/>
    <w:tmpl w:val="1EF2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C01F3"/>
    <w:multiLevelType w:val="multilevel"/>
    <w:tmpl w:val="EF5E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9388F"/>
    <w:multiLevelType w:val="multilevel"/>
    <w:tmpl w:val="F91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C0889"/>
    <w:multiLevelType w:val="multilevel"/>
    <w:tmpl w:val="2D64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207F77"/>
    <w:multiLevelType w:val="multilevel"/>
    <w:tmpl w:val="BD76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054F9"/>
    <w:multiLevelType w:val="multilevel"/>
    <w:tmpl w:val="4B9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D1679"/>
    <w:multiLevelType w:val="multilevel"/>
    <w:tmpl w:val="8D9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12634"/>
    <w:multiLevelType w:val="multilevel"/>
    <w:tmpl w:val="AA1E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2320A"/>
    <w:multiLevelType w:val="multilevel"/>
    <w:tmpl w:val="E11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381179">
    <w:abstractNumId w:val="22"/>
  </w:num>
  <w:num w:numId="2" w16cid:durableId="1449818491">
    <w:abstractNumId w:val="14"/>
  </w:num>
  <w:num w:numId="3" w16cid:durableId="1992902982">
    <w:abstractNumId w:val="6"/>
  </w:num>
  <w:num w:numId="4" w16cid:durableId="452795509">
    <w:abstractNumId w:val="13"/>
  </w:num>
  <w:num w:numId="5" w16cid:durableId="112557754">
    <w:abstractNumId w:val="19"/>
  </w:num>
  <w:num w:numId="6" w16cid:durableId="1344240842">
    <w:abstractNumId w:val="17"/>
  </w:num>
  <w:num w:numId="7" w16cid:durableId="998121627">
    <w:abstractNumId w:val="2"/>
  </w:num>
  <w:num w:numId="8" w16cid:durableId="2072191138">
    <w:abstractNumId w:val="5"/>
  </w:num>
  <w:num w:numId="9" w16cid:durableId="318003126">
    <w:abstractNumId w:val="3"/>
  </w:num>
  <w:num w:numId="10" w16cid:durableId="720710299">
    <w:abstractNumId w:val="8"/>
  </w:num>
  <w:num w:numId="11" w16cid:durableId="1622418353">
    <w:abstractNumId w:val="7"/>
  </w:num>
  <w:num w:numId="12" w16cid:durableId="1146703087">
    <w:abstractNumId w:val="4"/>
  </w:num>
  <w:num w:numId="13" w16cid:durableId="1534807594">
    <w:abstractNumId w:val="10"/>
  </w:num>
  <w:num w:numId="14" w16cid:durableId="1768843313">
    <w:abstractNumId w:val="1"/>
  </w:num>
  <w:num w:numId="15" w16cid:durableId="947542268">
    <w:abstractNumId w:val="23"/>
  </w:num>
  <w:num w:numId="16" w16cid:durableId="870992542">
    <w:abstractNumId w:val="24"/>
  </w:num>
  <w:num w:numId="17" w16cid:durableId="670837437">
    <w:abstractNumId w:val="21"/>
  </w:num>
  <w:num w:numId="18" w16cid:durableId="1090810132">
    <w:abstractNumId w:val="12"/>
  </w:num>
  <w:num w:numId="19" w16cid:durableId="1923753888">
    <w:abstractNumId w:val="11"/>
  </w:num>
  <w:num w:numId="20" w16cid:durableId="280302662">
    <w:abstractNumId w:val="20"/>
  </w:num>
  <w:num w:numId="21" w16cid:durableId="1077437309">
    <w:abstractNumId w:val="18"/>
  </w:num>
  <w:num w:numId="22" w16cid:durableId="1735591551">
    <w:abstractNumId w:val="0"/>
  </w:num>
  <w:num w:numId="23" w16cid:durableId="40055596">
    <w:abstractNumId w:val="15"/>
  </w:num>
  <w:num w:numId="24" w16cid:durableId="558595045">
    <w:abstractNumId w:val="16"/>
  </w:num>
  <w:num w:numId="25" w16cid:durableId="111096006">
    <w:abstractNumId w:val="9"/>
  </w:num>
  <w:num w:numId="26" w16cid:durableId="14355898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EE"/>
    <w:rsid w:val="00012EC4"/>
    <w:rsid w:val="0004637F"/>
    <w:rsid w:val="000B36B5"/>
    <w:rsid w:val="000D2C8D"/>
    <w:rsid w:val="000F496C"/>
    <w:rsid w:val="00130CDE"/>
    <w:rsid w:val="0019072D"/>
    <w:rsid w:val="001E5C6E"/>
    <w:rsid w:val="002B3C56"/>
    <w:rsid w:val="00311932"/>
    <w:rsid w:val="003B0912"/>
    <w:rsid w:val="003C45BA"/>
    <w:rsid w:val="004D6904"/>
    <w:rsid w:val="005061EE"/>
    <w:rsid w:val="00571A22"/>
    <w:rsid w:val="00584F61"/>
    <w:rsid w:val="00635F71"/>
    <w:rsid w:val="0064794A"/>
    <w:rsid w:val="006A641C"/>
    <w:rsid w:val="00716E22"/>
    <w:rsid w:val="00740DCE"/>
    <w:rsid w:val="00816BF8"/>
    <w:rsid w:val="008370D4"/>
    <w:rsid w:val="0085472B"/>
    <w:rsid w:val="00880A5B"/>
    <w:rsid w:val="008C71C8"/>
    <w:rsid w:val="0091199F"/>
    <w:rsid w:val="0091373F"/>
    <w:rsid w:val="00915DA7"/>
    <w:rsid w:val="0095529E"/>
    <w:rsid w:val="00964CFD"/>
    <w:rsid w:val="009966FE"/>
    <w:rsid w:val="00A20DC8"/>
    <w:rsid w:val="00CE6760"/>
    <w:rsid w:val="00D65065"/>
    <w:rsid w:val="00DD5D57"/>
    <w:rsid w:val="00DE5E8B"/>
    <w:rsid w:val="00E0030F"/>
    <w:rsid w:val="00E162AA"/>
    <w:rsid w:val="00F44BEA"/>
    <w:rsid w:val="00F76E21"/>
    <w:rsid w:val="00F8657F"/>
    <w:rsid w:val="00F91AD2"/>
    <w:rsid w:val="00FD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742FC"/>
  <w15:chartTrackingRefBased/>
  <w15:docId w15:val="{1453B65A-2610-4010-926D-F3899774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1EE"/>
    <w:rPr>
      <w:b/>
      <w:bCs/>
      <w:smallCaps/>
      <w:color w:val="0F4761" w:themeColor="accent1" w:themeShade="BF"/>
      <w:spacing w:val="5"/>
    </w:rPr>
  </w:style>
  <w:style w:type="paragraph" w:styleId="Bibliografa">
    <w:name w:val="Bibliography"/>
    <w:basedOn w:val="Normal"/>
    <w:next w:val="Normal"/>
    <w:uiPriority w:val="37"/>
    <w:unhideWhenUsed/>
    <w:rsid w:val="00996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9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Yeh09</b:Tag>
    <b:SourceType>DocumentFromInternetSite</b:SourceType>
    <b:Guid>{8A089C3D-B41E-45D0-BF75-FBCB5679029E}</b:Guid>
    <b:Author>
      <b:Author>
        <b:NameList>
          <b:Person>
            <b:Last>Yeh</b:Last>
            <b:First>I</b:First>
          </b:Person>
        </b:NameList>
      </b:Author>
    </b:Author>
    <b:Title> UCI Machine Learning Repository</b:Title>
    <b:Year>2009</b:Year>
    <b:URL>https://archive.ics.uci.edu/dataset/350/default+of+credit+card+clients</b:URL>
    <b:DOI>https://doi.org/10.24432/C55S3H</b:DOI>
    <b:InternetSiteTitle>Default of Credit Card Clients [Dataset]</b:InternetSiteTitle>
    <b:Month>01</b:Month>
    <b:Day>01</b:Day>
    <b:RefOrder>1</b:RefOrder>
  </b:Source>
  <b:Source>
    <b:Tag>Les03</b:Tag>
    <b:SourceType>DocumentFromInternetSite</b:SourceType>
    <b:Guid>{8807A2EA-629D-4B04-A357-3082D38E4B8A}</b:Guid>
    <b:Author>
      <b:Author>
        <b:NameList>
          <b:Person>
            <b:Last>Lessmann</b:Last>
            <b:First>Stefan</b:First>
          </b:Person>
          <b:Person>
            <b:Last>Hsin-Vonn</b:Last>
            <b:First>Seow</b:First>
          </b:Person>
          <b:Person>
            <b:Last>Baesens</b:Last>
            <b:First>Bart</b:First>
          </b:Person>
          <b:Person>
            <b:Last>Thomas</b:Last>
            <b:First>Lyn</b:First>
            <b:Middle>C</b:Middle>
          </b:Person>
        </b:NameList>
      </b:Author>
    </b:Author>
    <b:Title>Benchmarking state-of-the-art classification algorithms for credit</b:Title>
    <b:InternetSiteTitle>Journal of the Operational Research Society</b:InternetSiteTitle>
    <b:Year>2003</b:Year>
    <b:Month>01</b:Month>
    <b:Day>01</b:Day>
    <b:URL>https://cer.business-school.ed.ac.uk/wp-content/uploads/sites/55/2017/02/Benchmarking-State-of-the-Art-Classification-Algorithms-for-Credit-Scoring-Lessmann-Seow-Baesens-and-Thomas.pdf</b:URL>
    <b:RefOrder>2</b:RefOrder>
  </b:Source>
  <b:Source>
    <b:Tag>Yeh091</b:Tag>
    <b:SourceType>JournalArticle</b:SourceType>
    <b:Guid>{1528C5EC-7637-41B3-AB42-2AA4D5DC0686}</b:Guid>
    <b:Author>
      <b:Author>
        <b:NameList>
          <b:Person>
            <b:Last>Yeh</b:Last>
            <b:First>I.</b:First>
            <b:Middle>C., &amp; Lien, C. H.</b:Middle>
          </b:Person>
        </b:NameList>
      </b:Author>
    </b:Author>
    <b:Title>The comparisons of data mining techniques for the predictive accuracy of probability of default of credit card clients</b:Title>
    <b:InternetSiteTitle>ExpertThe comparisons of data mining techniques for the predictive accuracy of probability of default of credit card clients</b:InternetSiteTitle>
    <b:Year>2009</b:Year>
    <b:Month>marzo</b:Month>
    <b:Day>1</b:Day>
    <b:URL>https://www.sciencedirect.com/science/article/abs/pii/S0957417407006719?via%3Dihub</b:URL>
    <b:DOI>https://doi.org/10.1016/j.eswa.2007.12.020</b:DOI>
    <b:JournalName>ELSEVIER</b:JournalName>
    <b:Pages>2473-2480</b:Pages>
    <b:Volume>36</b:Volume>
    <b:Issue>2, part1</b:Issue>
    <b:RefOrder>3</b:RefOrder>
  </b:Source>
</b:Sources>
</file>

<file path=customXml/itemProps1.xml><?xml version="1.0" encoding="utf-8"?>
<ds:datastoreItem xmlns:ds="http://schemas.openxmlformats.org/officeDocument/2006/customXml" ds:itemID="{9230A4DB-7091-4134-AEEE-36CC5F9DC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1643</TotalTime>
  <Pages>16</Pages>
  <Words>2135</Words>
  <Characters>11747</Characters>
  <Application>Microsoft Office Word</Application>
  <DocSecurity>0</DocSecurity>
  <Lines>97</Lines>
  <Paragraphs>27</Paragraphs>
  <ScaleCrop>false</ScaleCrop>
  <Company/>
  <LinksUpToDate>false</LinksUpToDate>
  <CharactersWithSpaces>13855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Ruiz</dc:creator>
  <cp:keywords/>
  <dc:description/>
  <cp:lastModifiedBy>Jonathan Ruiz</cp:lastModifiedBy>
  <cp:revision>38</cp:revision>
  <dcterms:created xsi:type="dcterms:W3CDTF">2025-12-13T00:46:00Z</dcterms:created>
  <dcterms:modified xsi:type="dcterms:W3CDTF">2025-12-14T04:09:00Z</dcterms:modified>
</cp:coreProperties>
</file>