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C6A13" w14:textId="77777777" w:rsidR="00E06EE9" w:rsidRDefault="00000000">
      <w:r>
        <w:rPr>
          <w:b/>
          <w:color w:val="3476B1"/>
          <w:sz w:val="16"/>
        </w:rPr>
        <w:t>CEC EPN  /  DIPLOMADO EN BIG DATA E INTELIGENCIA ARTIFICIAL  /  MÓDULO 3</w:t>
      </w:r>
    </w:p>
    <w:p w14:paraId="4FEE509D" w14:textId="77777777" w:rsidR="00E06EE9" w:rsidRDefault="00000000">
      <w:pPr>
        <w:pStyle w:val="Ttulo"/>
      </w:pPr>
      <w:r>
        <w:t>Proyecto Integrador · Tarea 2</w:t>
      </w:r>
    </w:p>
    <w:p w14:paraId="3975D9B5" w14:textId="60D46336" w:rsidR="00E06EE9" w:rsidRDefault="00000000" w:rsidP="006A3CC4">
      <w:pPr>
        <w:spacing w:after="200"/>
      </w:pPr>
      <w:r>
        <w:rPr>
          <w:b/>
          <w:color w:val="DA181E"/>
          <w:sz w:val="20"/>
        </w:rPr>
        <w:t>Formativa · práctica guiada · Día 5 · 20 puntos</w:t>
      </w:r>
    </w:p>
    <w:p w14:paraId="792DCBF8" w14:textId="77777777" w:rsidR="00E06EE9" w:rsidRDefault="00000000">
      <w:pPr>
        <w:pStyle w:val="Ttulo1"/>
      </w:pPr>
      <w:r>
        <w:t>Descripción de la actividad</w:t>
      </w:r>
    </w:p>
    <w:p w14:paraId="6CF6D36A" w14:textId="77777777" w:rsidR="00E06EE9" w:rsidRDefault="00000000">
      <w:r>
        <w:t>Continúa el mismo dataset y la pregunta de la Tarea 1. Esta entrega prepara filas y columnas de manera reproducible y permite entender qué información se modelará. PCA es una opción cuando aporta a la pregunta, no un requisito universal.</w:t>
      </w:r>
    </w:p>
    <w:p w14:paraId="5419801E" w14:textId="77777777" w:rsidR="00E06EE9" w:rsidRDefault="00000000">
      <w:pPr>
        <w:pStyle w:val="Ttulo1"/>
      </w:pPr>
      <w:r>
        <w:t>Objetivo de aprendizaje</w:t>
      </w:r>
    </w:p>
    <w:p w14:paraId="7154ED6A" w14:textId="77777777" w:rsidR="00E06EE9" w:rsidRDefault="00000000">
      <w:r>
        <w:t>Limpiar y visualizar los datos sin perder trazabilidad; dividirlos según la pregunta y convertir variables cualitativas pertinentes a entradas numéricas sin fuga de información.</w:t>
      </w:r>
    </w:p>
    <w:p w14:paraId="6224F8A3" w14:textId="77777777" w:rsidR="00E06EE9" w:rsidRDefault="00000000">
      <w:pPr>
        <w:pStyle w:val="Ttulo1"/>
      </w:pPr>
      <w:r>
        <w:t>Resultado esperado</w:t>
      </w:r>
    </w:p>
    <w:p w14:paraId="3F636C3E" w14:textId="77777777" w:rsidR="00E06EE9" w:rsidRDefault="00000000">
      <w:r>
        <w:t>Notebook ampliado con tabla de decisiones de calidad, al menos tres figuras interpretadas, particiones Train/Validation/Test verificadas y preprocesamiento ajustado solo en Train.</w:t>
      </w:r>
    </w:p>
    <w:p w14:paraId="643C56FF" w14:textId="77777777" w:rsidR="00E06EE9" w:rsidRDefault="00000000">
      <w:pPr>
        <w:pStyle w:val="Ttulo1"/>
      </w:pPr>
      <w:r>
        <w:t>Cómo se trabajará</w:t>
      </w:r>
    </w:p>
    <w:p w14:paraId="79E2519F" w14:textId="77777777" w:rsidR="00E06EE9" w:rsidRDefault="00000000">
      <w:pPr>
        <w:ind w:left="198"/>
      </w:pPr>
      <w:r>
        <w:rPr>
          <w:b/>
          <w:color w:val="3476B1"/>
        </w:rPr>
        <w:t xml:space="preserve">Paso 1. </w:t>
      </w:r>
      <w:r>
        <w:t>Justifica nulos, duplicados, valores extremos y columnas indisponibles en el momento de predicción; indica cuántas filas se conservan.</w:t>
      </w:r>
    </w:p>
    <w:p w14:paraId="7A622A8F" w14:textId="77777777" w:rsidR="00E06EE9" w:rsidRDefault="00000000">
      <w:pPr>
        <w:ind w:left="198"/>
      </w:pPr>
      <w:r>
        <w:rPr>
          <w:b/>
          <w:color w:val="3476B1"/>
        </w:rPr>
        <w:t xml:space="preserve">Paso 2. </w:t>
      </w:r>
      <w:r>
        <w:t>Presenta tres figuras distintas con título, ejes y una oración que responda qué muestran; no deduzcas causalidad.</w:t>
      </w:r>
    </w:p>
    <w:p w14:paraId="23079C13" w14:textId="77777777" w:rsidR="00E06EE9" w:rsidRDefault="00000000">
      <w:pPr>
        <w:ind w:left="198"/>
      </w:pPr>
      <w:r>
        <w:rPr>
          <w:b/>
          <w:color w:val="3476B1"/>
        </w:rPr>
        <w:t xml:space="preserve">Paso 3. </w:t>
      </w:r>
      <w:r>
        <w:t>Divide antes de calcular medianas, escalas o categorías: estratifica clases si procede; respeta fechas en pronóstico y países completos si buscas generalizar a ellos.</w:t>
      </w:r>
    </w:p>
    <w:p w14:paraId="75FB3C92" w14:textId="77777777" w:rsidR="00E06EE9" w:rsidRDefault="00000000">
      <w:pPr>
        <w:ind w:left="198"/>
      </w:pPr>
      <w:r>
        <w:rPr>
          <w:b/>
          <w:color w:val="3476B1"/>
        </w:rPr>
        <w:t xml:space="preserve">Paso 4. </w:t>
      </w:r>
      <w:r>
        <w:t>Identifica cualitativas desde el principio, pero ajusta OneHotEncoder/imputación/escalado dentro de Pipeline usando solo Train; aplica las reglas aprendidas a Validation y Test.</w:t>
      </w:r>
    </w:p>
    <w:p w14:paraId="424FABAB" w14:textId="77777777" w:rsidR="00E06EE9" w:rsidRDefault="00000000">
      <w:pPr>
        <w:ind w:left="198"/>
      </w:pPr>
      <w:r>
        <w:rPr>
          <w:b/>
          <w:color w:val="3476B1"/>
        </w:rPr>
        <w:t xml:space="preserve">Paso 5. </w:t>
      </w:r>
      <w:r>
        <w:t>En clustering no inventes y: separa datos para comprobar estabilidad/perfiles y escala usando solo Train. Si no hay categorías sustantivas, explica por qué One-Hot no aplica.</w:t>
      </w:r>
    </w:p>
    <w:p w14:paraId="05799811" w14:textId="77777777" w:rsidR="00E06EE9" w:rsidRDefault="00000000">
      <w:pPr>
        <w:pStyle w:val="Ttulo1"/>
      </w:pPr>
      <w:r>
        <w:t>Ejemplo de una decisión correcta</w:t>
      </w:r>
    </w:p>
    <w:p w14:paraId="24CB6898" w14:textId="77777777" w:rsidR="00E06EE9" w:rsidRDefault="00000000">
      <w:r>
        <w:t xml:space="preserve">En telco_churn_fallback.csv, Contract es una categoría y customerID un identificador. Separa clientes en Train/Validation/Test; luego aprende en Train columnas 0/1 para las categorías Contract con One-Hot. No asignes Month-to-month=1 y One year=2 como si fuesen magnitudes ni incluyas </w:t>
      </w:r>
      <w:proofErr w:type="spellStart"/>
      <w:r>
        <w:t>customerID</w:t>
      </w:r>
      <w:proofErr w:type="spellEnd"/>
      <w:r>
        <w:t xml:space="preserve"> por rutina.</w:t>
      </w:r>
    </w:p>
    <w:p w14:paraId="43074C3F" w14:textId="77777777" w:rsidR="006A3CC4" w:rsidRDefault="006A3CC4"/>
    <w:p w14:paraId="7A30D270" w14:textId="77777777" w:rsidR="006A3CC4" w:rsidRDefault="006A3CC4"/>
    <w:p w14:paraId="06581150" w14:textId="77777777" w:rsidR="006A3CC4" w:rsidRDefault="006A3CC4"/>
    <w:p w14:paraId="494E06F0" w14:textId="77777777" w:rsidR="006A3CC4" w:rsidRDefault="006A3CC4"/>
    <w:p w14:paraId="5D9D3FEC" w14:textId="77777777" w:rsidR="006A3CC4" w:rsidRDefault="006A3CC4"/>
    <w:p w14:paraId="2A784D56" w14:textId="77777777" w:rsidR="00E06EE9" w:rsidRDefault="00000000">
      <w:pPr>
        <w:pStyle w:val="Ttulo1"/>
      </w:pPr>
      <w:r>
        <w:lastRenderedPageBreak/>
        <w:t>Rúbrica de evaluación — 20 puntos</w:t>
      </w:r>
    </w:p>
    <w:p w14:paraId="643BA5F8" w14:textId="3C4BD0C4" w:rsidR="00E06EE9" w:rsidRDefault="00000000">
      <w:r>
        <w:t xml:space="preserve">Por cada criterio marque Logrado (puntaje completo), En desarrollo (mitad) o No logrado (0). Se admiten medios puntos. </w:t>
      </w:r>
    </w:p>
    <w:tbl>
      <w:tblPr>
        <w:tblW w:w="8504" w:type="dxa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839"/>
        <w:gridCol w:w="964"/>
      </w:tblGrid>
      <w:tr w:rsidR="00E06EE9" w14:paraId="2F618882" w14:textId="77777777">
        <w:trPr>
          <w:jc w:val="center"/>
        </w:trPr>
        <w:tc>
          <w:tcPr>
            <w:tcW w:w="1701" w:type="dxa"/>
            <w:shd w:val="clear" w:color="auto" w:fill="DDEAF5"/>
            <w:vAlign w:val="center"/>
          </w:tcPr>
          <w:p w14:paraId="5F5B111B" w14:textId="77777777" w:rsidR="00E06EE9" w:rsidRDefault="00000000">
            <w:pPr>
              <w:keepNext/>
              <w:spacing w:after="40"/>
            </w:pPr>
            <w:r>
              <w:rPr>
                <w:b/>
                <w:sz w:val="17"/>
              </w:rPr>
              <w:t>Criterio</w:t>
            </w:r>
          </w:p>
        </w:tc>
        <w:tc>
          <w:tcPr>
            <w:tcW w:w="5839" w:type="dxa"/>
            <w:shd w:val="clear" w:color="auto" w:fill="DDEAF5"/>
            <w:vAlign w:val="center"/>
          </w:tcPr>
          <w:p w14:paraId="43AC15DF" w14:textId="77777777" w:rsidR="00E06EE9" w:rsidRDefault="00000000">
            <w:pPr>
              <w:keepNext/>
              <w:spacing w:after="40"/>
            </w:pPr>
            <w:r>
              <w:rPr>
                <w:b/>
                <w:sz w:val="17"/>
              </w:rPr>
              <w:t>Niveles de desempeño y evidencia observable</w:t>
            </w:r>
          </w:p>
        </w:tc>
        <w:tc>
          <w:tcPr>
            <w:tcW w:w="964" w:type="dxa"/>
            <w:shd w:val="clear" w:color="auto" w:fill="DDEAF5"/>
            <w:vAlign w:val="center"/>
          </w:tcPr>
          <w:p w14:paraId="3BCFD66B" w14:textId="77777777" w:rsidR="00E06EE9" w:rsidRDefault="00000000">
            <w:pPr>
              <w:keepNext/>
              <w:spacing w:after="40"/>
            </w:pPr>
            <w:r>
              <w:rPr>
                <w:b/>
                <w:sz w:val="17"/>
              </w:rPr>
              <w:t>Puntos</w:t>
            </w:r>
          </w:p>
        </w:tc>
      </w:tr>
      <w:tr w:rsidR="00E06EE9" w14:paraId="4895920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BBEC190" w14:textId="77777777" w:rsidR="00E06EE9" w:rsidRDefault="00000000">
            <w:pPr>
              <w:spacing w:after="40"/>
            </w:pPr>
            <w:r>
              <w:rPr>
                <w:b/>
                <w:sz w:val="17"/>
              </w:rPr>
              <w:t>Limpieza</w:t>
            </w:r>
          </w:p>
        </w:tc>
        <w:tc>
          <w:tcPr>
            <w:tcW w:w="5839" w:type="dxa"/>
          </w:tcPr>
          <w:p w14:paraId="70147F16" w14:textId="77777777" w:rsidR="00E06EE9" w:rsidRDefault="00000000">
            <w:pPr>
              <w:spacing w:after="40"/>
            </w:pPr>
            <w:r>
              <w:rPr>
                <w:b/>
                <w:sz w:val="16"/>
              </w:rPr>
              <w:t xml:space="preserve">Logrado (5): </w:t>
            </w:r>
            <w:r>
              <w:rPr>
                <w:sz w:val="16"/>
              </w:rPr>
              <w:t>Trata nulos/duplicados/extremos, excluye IDs y variables futuras y cuantifica pérdida de filas.</w:t>
            </w:r>
          </w:p>
          <w:p w14:paraId="5D5C5DA9" w14:textId="77777777" w:rsidR="00E06EE9" w:rsidRDefault="00000000">
            <w:pPr>
              <w:spacing w:after="40"/>
            </w:pPr>
            <w:r>
              <w:rPr>
                <w:b/>
                <w:sz w:val="16"/>
              </w:rPr>
              <w:t xml:space="preserve">En desarrollo (2.5): </w:t>
            </w:r>
            <w:r>
              <w:rPr>
                <w:sz w:val="16"/>
              </w:rPr>
              <w:t>Limpia, pero sin justificar una decisión importante.</w:t>
            </w:r>
          </w:p>
          <w:p w14:paraId="3B82012C" w14:textId="77777777" w:rsidR="00E06EE9" w:rsidRDefault="00000000">
            <w:pPr>
              <w:spacing w:after="40"/>
            </w:pPr>
            <w:r>
              <w:rPr>
                <w:b/>
                <w:sz w:val="16"/>
              </w:rPr>
              <w:t xml:space="preserve">No logrado (0): </w:t>
            </w:r>
            <w:r>
              <w:rPr>
                <w:sz w:val="16"/>
              </w:rPr>
              <w:t>No limpia o introduce target/futuro como predictor.</w:t>
            </w:r>
          </w:p>
        </w:tc>
        <w:tc>
          <w:tcPr>
            <w:tcW w:w="964" w:type="dxa"/>
            <w:vAlign w:val="center"/>
          </w:tcPr>
          <w:p w14:paraId="0573DA97" w14:textId="77777777" w:rsidR="00E06EE9" w:rsidRDefault="00000000">
            <w:pPr>
              <w:spacing w:after="40"/>
            </w:pPr>
            <w:r>
              <w:rPr>
                <w:sz w:val="17"/>
              </w:rPr>
              <w:t>___ / 5</w:t>
            </w:r>
          </w:p>
        </w:tc>
      </w:tr>
      <w:tr w:rsidR="00E06EE9" w14:paraId="46604EA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D0FA861" w14:textId="77777777" w:rsidR="00E06EE9" w:rsidRDefault="00000000">
            <w:pPr>
              <w:spacing w:after="40"/>
            </w:pPr>
            <w:r>
              <w:rPr>
                <w:b/>
                <w:sz w:val="17"/>
              </w:rPr>
              <w:t>Tres gráficos</w:t>
            </w:r>
          </w:p>
        </w:tc>
        <w:tc>
          <w:tcPr>
            <w:tcW w:w="5839" w:type="dxa"/>
          </w:tcPr>
          <w:p w14:paraId="4CBB4D8E" w14:textId="77777777" w:rsidR="00E06EE9" w:rsidRDefault="00000000">
            <w:pPr>
              <w:spacing w:after="40"/>
            </w:pPr>
            <w:r>
              <w:rPr>
                <w:b/>
                <w:sz w:val="16"/>
              </w:rPr>
              <w:t xml:space="preserve">Logrado (5): </w:t>
            </w:r>
            <w:r>
              <w:rPr>
                <w:sz w:val="16"/>
              </w:rPr>
              <w:t>Tres figuras distintas con título, ejes y conclusión pertinente por figura.</w:t>
            </w:r>
          </w:p>
          <w:p w14:paraId="489B22E4" w14:textId="77777777" w:rsidR="00E06EE9" w:rsidRDefault="00000000">
            <w:pPr>
              <w:spacing w:after="40"/>
            </w:pPr>
            <w:r>
              <w:rPr>
                <w:b/>
                <w:sz w:val="16"/>
              </w:rPr>
              <w:t xml:space="preserve">En desarrollo (2.5): </w:t>
            </w:r>
            <w:r>
              <w:rPr>
                <w:sz w:val="16"/>
              </w:rPr>
              <w:t>Una figura falta o las interpretaciones son parciales.</w:t>
            </w:r>
          </w:p>
          <w:p w14:paraId="02966AA9" w14:textId="77777777" w:rsidR="00E06EE9" w:rsidRDefault="00000000">
            <w:pPr>
              <w:spacing w:after="40"/>
            </w:pPr>
            <w:r>
              <w:rPr>
                <w:b/>
                <w:sz w:val="16"/>
              </w:rPr>
              <w:t xml:space="preserve">No logrado (0): </w:t>
            </w:r>
            <w:r>
              <w:rPr>
                <w:sz w:val="16"/>
              </w:rPr>
              <w:t>No hay exploración útil.</w:t>
            </w:r>
          </w:p>
        </w:tc>
        <w:tc>
          <w:tcPr>
            <w:tcW w:w="964" w:type="dxa"/>
            <w:vAlign w:val="center"/>
          </w:tcPr>
          <w:p w14:paraId="5F868319" w14:textId="77777777" w:rsidR="00E06EE9" w:rsidRDefault="00000000">
            <w:pPr>
              <w:spacing w:after="40"/>
            </w:pPr>
            <w:r>
              <w:rPr>
                <w:sz w:val="17"/>
              </w:rPr>
              <w:t>___ / 5</w:t>
            </w:r>
          </w:p>
        </w:tc>
      </w:tr>
      <w:tr w:rsidR="00E06EE9" w14:paraId="203FD21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7B5E462" w14:textId="77777777" w:rsidR="00E06EE9" w:rsidRDefault="00000000">
            <w:pPr>
              <w:spacing w:after="40"/>
            </w:pPr>
            <w:r>
              <w:rPr>
                <w:b/>
                <w:sz w:val="17"/>
              </w:rPr>
              <w:t>Particiones</w:t>
            </w:r>
          </w:p>
        </w:tc>
        <w:tc>
          <w:tcPr>
            <w:tcW w:w="5839" w:type="dxa"/>
          </w:tcPr>
          <w:p w14:paraId="180778A4" w14:textId="77777777" w:rsidR="00E06EE9" w:rsidRDefault="00000000">
            <w:pPr>
              <w:spacing w:after="40"/>
            </w:pPr>
            <w:r>
              <w:rPr>
                <w:b/>
                <w:sz w:val="16"/>
              </w:rPr>
              <w:t xml:space="preserve">Logrado (5): </w:t>
            </w:r>
            <w:r>
              <w:rPr>
                <w:sz w:val="16"/>
              </w:rPr>
              <w:t>Train/Validation/Test reproducibles según clases, tiempo, país o estabilidad; comprueba tamaños.</w:t>
            </w:r>
          </w:p>
          <w:p w14:paraId="71ABFAED" w14:textId="77777777" w:rsidR="00E06EE9" w:rsidRDefault="00000000">
            <w:pPr>
              <w:spacing w:after="40"/>
            </w:pPr>
            <w:r>
              <w:rPr>
                <w:b/>
                <w:sz w:val="16"/>
              </w:rPr>
              <w:t xml:space="preserve">En desarrollo (2.5): </w:t>
            </w:r>
            <w:r>
              <w:rPr>
                <w:sz w:val="16"/>
              </w:rPr>
              <w:t>Divide pero no justifica ni revisa composición.</w:t>
            </w:r>
          </w:p>
          <w:p w14:paraId="6DC63DA5" w14:textId="77777777" w:rsidR="00E06EE9" w:rsidRDefault="00000000">
            <w:pPr>
              <w:spacing w:after="40"/>
            </w:pPr>
            <w:r>
              <w:rPr>
                <w:b/>
                <w:sz w:val="16"/>
              </w:rPr>
              <w:t xml:space="preserve">No logrado (0): </w:t>
            </w:r>
            <w:r>
              <w:rPr>
                <w:sz w:val="16"/>
              </w:rPr>
              <w:t>No divide o mezcla Test con Train.</w:t>
            </w:r>
          </w:p>
        </w:tc>
        <w:tc>
          <w:tcPr>
            <w:tcW w:w="964" w:type="dxa"/>
            <w:vAlign w:val="center"/>
          </w:tcPr>
          <w:p w14:paraId="6937E457" w14:textId="77777777" w:rsidR="00E06EE9" w:rsidRDefault="00000000">
            <w:pPr>
              <w:spacing w:after="40"/>
            </w:pPr>
            <w:r>
              <w:rPr>
                <w:sz w:val="17"/>
              </w:rPr>
              <w:t>___ / 5</w:t>
            </w:r>
          </w:p>
        </w:tc>
      </w:tr>
      <w:tr w:rsidR="00E06EE9" w14:paraId="662DC95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B6CB40C" w14:textId="77777777" w:rsidR="00E06EE9" w:rsidRDefault="00000000">
            <w:pPr>
              <w:spacing w:after="40"/>
            </w:pPr>
            <w:r>
              <w:rPr>
                <w:b/>
                <w:sz w:val="17"/>
              </w:rPr>
              <w:t>Sin fuga</w:t>
            </w:r>
          </w:p>
        </w:tc>
        <w:tc>
          <w:tcPr>
            <w:tcW w:w="5839" w:type="dxa"/>
          </w:tcPr>
          <w:p w14:paraId="24440076" w14:textId="77777777" w:rsidR="00E06EE9" w:rsidRDefault="00000000">
            <w:pPr>
              <w:spacing w:after="40"/>
            </w:pPr>
            <w:r>
              <w:rPr>
                <w:b/>
                <w:sz w:val="16"/>
              </w:rPr>
              <w:t xml:space="preserve">Logrado (5): </w:t>
            </w:r>
            <w:r>
              <w:rPr>
                <w:sz w:val="16"/>
              </w:rPr>
              <w:t>Categorías relevantes con One-Hot y transformaciones aprendidas solo en Train; aplica al resto sin reajuste.</w:t>
            </w:r>
          </w:p>
          <w:p w14:paraId="5FD26903" w14:textId="77777777" w:rsidR="00E06EE9" w:rsidRDefault="00000000">
            <w:pPr>
              <w:spacing w:after="40"/>
            </w:pPr>
            <w:r>
              <w:rPr>
                <w:b/>
                <w:sz w:val="16"/>
              </w:rPr>
              <w:t xml:space="preserve">En desarrollo (2.5): </w:t>
            </w:r>
            <w:r>
              <w:rPr>
                <w:sz w:val="16"/>
              </w:rPr>
              <w:t>Algunas transformaciones son correctas pero falta justificar o aislar un paso.</w:t>
            </w:r>
          </w:p>
          <w:p w14:paraId="26137022" w14:textId="77777777" w:rsidR="00E06EE9" w:rsidRDefault="00000000">
            <w:pPr>
              <w:spacing w:after="40"/>
            </w:pPr>
            <w:r>
              <w:rPr>
                <w:b/>
                <w:sz w:val="16"/>
              </w:rPr>
              <w:t xml:space="preserve">No logrado (0): </w:t>
            </w:r>
            <w:r>
              <w:rPr>
                <w:sz w:val="16"/>
              </w:rPr>
              <w:t>Codifica usando toda la muestra antes del split o trata IDs como magnitudes.</w:t>
            </w:r>
          </w:p>
        </w:tc>
        <w:tc>
          <w:tcPr>
            <w:tcW w:w="964" w:type="dxa"/>
            <w:vAlign w:val="center"/>
          </w:tcPr>
          <w:p w14:paraId="52C18C3C" w14:textId="77777777" w:rsidR="00E06EE9" w:rsidRDefault="00000000">
            <w:pPr>
              <w:spacing w:after="40"/>
            </w:pPr>
            <w:r>
              <w:rPr>
                <w:sz w:val="17"/>
              </w:rPr>
              <w:t>___ / 5</w:t>
            </w:r>
          </w:p>
        </w:tc>
      </w:tr>
      <w:tr w:rsidR="00E06EE9" w14:paraId="7EFE84ED" w14:textId="77777777">
        <w:trPr>
          <w:cantSplit/>
          <w:jc w:val="center"/>
        </w:trPr>
        <w:tc>
          <w:tcPr>
            <w:tcW w:w="1701" w:type="dxa"/>
            <w:shd w:val="clear" w:color="auto" w:fill="EAF1F8"/>
            <w:vAlign w:val="center"/>
          </w:tcPr>
          <w:p w14:paraId="0592E063" w14:textId="77777777" w:rsidR="00E06EE9" w:rsidRDefault="00000000">
            <w:pPr>
              <w:spacing w:after="40"/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w="5839" w:type="dxa"/>
            <w:shd w:val="clear" w:color="auto" w:fill="EAF1F8"/>
            <w:vAlign w:val="center"/>
          </w:tcPr>
          <w:p w14:paraId="6EB6E325" w14:textId="77777777" w:rsidR="00E06EE9" w:rsidRDefault="00000000">
            <w:pPr>
              <w:spacing w:after="40"/>
            </w:pPr>
            <w:r>
              <w:rPr>
                <w:sz w:val="17"/>
              </w:rPr>
              <w:t>Mismo notebook, ahora con preparación y tres gráficos.</w:t>
            </w:r>
          </w:p>
        </w:tc>
        <w:tc>
          <w:tcPr>
            <w:tcW w:w="964" w:type="dxa"/>
            <w:shd w:val="clear" w:color="auto" w:fill="EAF1F8"/>
            <w:vAlign w:val="center"/>
          </w:tcPr>
          <w:p w14:paraId="7934F095" w14:textId="77777777" w:rsidR="00E06EE9" w:rsidRDefault="00000000">
            <w:pPr>
              <w:spacing w:after="40"/>
            </w:pPr>
            <w:r>
              <w:rPr>
                <w:b/>
                <w:sz w:val="17"/>
              </w:rPr>
              <w:t>___ / 20</w:t>
            </w:r>
          </w:p>
        </w:tc>
      </w:tr>
    </w:tbl>
    <w:p w14:paraId="49FE63AF" w14:textId="74AA1746" w:rsidR="00E06EE9" w:rsidRDefault="00E06EE9"/>
    <w:sectPr w:rsidR="00E06EE9" w:rsidSect="003251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5209C" w14:textId="77777777" w:rsidR="001668B1" w:rsidRDefault="001668B1" w:rsidP="00FE1C13">
      <w:pPr>
        <w:spacing w:after="0" w:line="240" w:lineRule="auto"/>
      </w:pPr>
      <w:r>
        <w:separator/>
      </w:r>
    </w:p>
  </w:endnote>
  <w:endnote w:type="continuationSeparator" w:id="0">
    <w:p w14:paraId="32097C16" w14:textId="77777777" w:rsidR="001668B1" w:rsidRDefault="001668B1" w:rsidP="00FE1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BD450" w14:textId="77777777" w:rsidR="00DC73F1" w:rsidRDefault="00DC73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EEA2F" w14:textId="77777777" w:rsidR="005A334C" w:rsidRPr="006F317B" w:rsidRDefault="006F317B" w:rsidP="006F317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B52C7E" wp14:editId="0F78B6B7">
              <wp:simplePos x="0" y="0"/>
              <wp:positionH relativeFrom="column">
                <wp:posOffset>-102539</wp:posOffset>
              </wp:positionH>
              <wp:positionV relativeFrom="paragraph">
                <wp:posOffset>-144145</wp:posOffset>
              </wp:positionV>
              <wp:extent cx="6353644" cy="1828800"/>
              <wp:effectExtent l="0" t="0" r="0" b="3175"/>
              <wp:wrapNone/>
              <wp:docPr id="1673123307" name="5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3644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5065543" w14:textId="77777777" w:rsidR="006F317B" w:rsidRPr="0097103E" w:rsidRDefault="006F317B" w:rsidP="006F317B">
                          <w:pPr>
                            <w:rPr>
                              <w:color w:val="808080" w:themeColor="background1" w:themeShade="80"/>
                              <w:sz w:val="24"/>
                              <w:szCs w:val="24"/>
                              <w:lang w:val="es-ES"/>
                            </w:rPr>
                          </w:pPr>
                          <w:r w:rsidRPr="0097103E">
                            <w:rPr>
                              <w:color w:val="808080" w:themeColor="background1" w:themeShade="80"/>
                              <w:sz w:val="24"/>
                              <w:szCs w:val="24"/>
                              <w:lang w:val="es-ES"/>
                            </w:rPr>
                            <w:t>Edificio Aulas y Relación con el Medio Externo, Av. Toledo N23-55 y Madrid. Telf.: +593 2 2525766 - Ext: 102 / 125 / 143, 120, 127 - www.cec-epn.edu.ec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6B52C7E" id="_x0000_t202" coordsize="21600,21600" o:spt="202" path="m,l,21600r21600,l21600,xe">
              <v:stroke joinstyle="miter"/>
              <v:path gradientshapeok="t" o:connecttype="rect"/>
            </v:shapetype>
            <v:shape id="5 Cuadro de texto" o:spid="_x0000_s1026" type="#_x0000_t202" style="position:absolute;margin-left:-8.05pt;margin-top:-11.35pt;width:500.3pt;height:2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" filled="f" stroked="f">
              <v:textbox style="mso-fit-shape-to-text:t">
                <w:txbxContent>
                  <w:p w14:paraId="25065543" w14:textId="77777777" w:rsidR="006F317B" w:rsidRPr="0097103E" w:rsidRDefault="006F317B" w:rsidP="006F317B">
                    <w:pPr>
                      <w:rPr>
                        <w:color w:val="808080" w:themeColor="background1" w:themeShade="80"/>
                        <w:sz w:val="24"/>
                        <w:szCs w:val="24"/>
                        <w:lang w:val="es-ES"/>
                      </w:rPr>
                    </w:pPr>
                    <w:r w:rsidRPr="0097103E">
                      <w:rPr>
                        <w:color w:val="808080" w:themeColor="background1" w:themeShade="80"/>
                        <w:sz w:val="24"/>
                        <w:szCs w:val="24"/>
                        <w:lang w:val="es-ES"/>
                      </w:rPr>
                      <w:t>Edificio Aulas y Relación con el Medio Externo, Av. Toledo N23-55 y Madrid. Telf.: +593 2 2525766 - Ext: 102 / 125 / 143, 120, 127 - www.cec-epn.edu.ec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FDF22" w14:textId="77777777" w:rsidR="00DC73F1" w:rsidRDefault="00DC73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E8414" w14:textId="77777777" w:rsidR="001668B1" w:rsidRDefault="001668B1" w:rsidP="00FE1C13">
      <w:pPr>
        <w:spacing w:after="0" w:line="240" w:lineRule="auto"/>
      </w:pPr>
      <w:r>
        <w:separator/>
      </w:r>
    </w:p>
  </w:footnote>
  <w:footnote w:type="continuationSeparator" w:id="0">
    <w:p w14:paraId="7DD03974" w14:textId="77777777" w:rsidR="001668B1" w:rsidRDefault="001668B1" w:rsidP="00FE1C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9F17" w14:textId="77777777" w:rsidR="00DC73F1" w:rsidRDefault="00DC73F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5AF20" w14:textId="77777777" w:rsidR="00FE1C13" w:rsidRDefault="00FE1C1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959143" wp14:editId="70F29E70">
          <wp:simplePos x="0" y="0"/>
          <wp:positionH relativeFrom="column">
            <wp:posOffset>-1064232</wp:posOffset>
          </wp:positionH>
          <wp:positionV relativeFrom="paragraph">
            <wp:posOffset>-442264</wp:posOffset>
          </wp:positionV>
          <wp:extent cx="7522768" cy="10670651"/>
          <wp:effectExtent l="0" t="0" r="2540" b="0"/>
          <wp:wrapNone/>
          <wp:docPr id="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0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2102" cy="10683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E8EAF" w14:textId="77777777" w:rsidR="00DC73F1" w:rsidRDefault="00DC73F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33"/>
    <w:rsid w:val="001071AB"/>
    <w:rsid w:val="001668B1"/>
    <w:rsid w:val="00325155"/>
    <w:rsid w:val="003E16B8"/>
    <w:rsid w:val="005A334C"/>
    <w:rsid w:val="005C28DE"/>
    <w:rsid w:val="006A3CC4"/>
    <w:rsid w:val="006F317B"/>
    <w:rsid w:val="0072228F"/>
    <w:rsid w:val="00801D3F"/>
    <w:rsid w:val="008050B7"/>
    <w:rsid w:val="00876347"/>
    <w:rsid w:val="008B51F7"/>
    <w:rsid w:val="0097103E"/>
    <w:rsid w:val="00982E33"/>
    <w:rsid w:val="00990A5D"/>
    <w:rsid w:val="00B8243B"/>
    <w:rsid w:val="00CD06CE"/>
    <w:rsid w:val="00DC73F1"/>
    <w:rsid w:val="00E06EE9"/>
    <w:rsid w:val="00E14030"/>
    <w:rsid w:val="00E97C43"/>
    <w:rsid w:val="00F915EA"/>
    <w:rsid w:val="00FE1C13"/>
    <w:rsid w:val="00FF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E01A8D"/>
  <w15:docId w15:val="{93A994C9-E969-4A11-8AF3-AAF176378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69" w:lineRule="auto"/>
    </w:pPr>
    <w:rPr>
      <w:rFonts w:ascii="Arial" w:hAnsi="Arial"/>
      <w:color w:val="092240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990A5D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3476B1"/>
      <w:sz w:val="25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A5D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3476B1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0A5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29DD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824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243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E1C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1C13"/>
  </w:style>
  <w:style w:type="paragraph" w:styleId="Piedepgina">
    <w:name w:val="footer"/>
    <w:basedOn w:val="Normal"/>
    <w:link w:val="PiedepginaCar"/>
    <w:uiPriority w:val="99"/>
    <w:unhideWhenUsed/>
    <w:rsid w:val="00FE1C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1C13"/>
  </w:style>
  <w:style w:type="character" w:customStyle="1" w:styleId="Ttulo1Car">
    <w:name w:val="Título 1 Car"/>
    <w:basedOn w:val="Fuentedeprrafopredeter"/>
    <w:link w:val="Ttulo1"/>
    <w:uiPriority w:val="9"/>
    <w:rsid w:val="00990A5D"/>
    <w:rPr>
      <w:rFonts w:asciiTheme="majorHAnsi" w:eastAsiaTheme="majorEastAsia" w:hAnsiTheme="majorHAnsi" w:cstheme="majorBidi"/>
      <w:b/>
      <w:bCs/>
      <w:color w:val="3476B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990A5D"/>
    <w:pPr>
      <w:keepNext/>
      <w:pBdr>
        <w:bottom w:val="single" w:sz="8" w:space="4" w:color="629DD1" w:themeColor="accent1"/>
      </w:pBdr>
      <w:spacing w:before="40" w:after="1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90A5D"/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990A5D"/>
    <w:rPr>
      <w:rFonts w:asciiTheme="majorHAnsi" w:eastAsiaTheme="majorEastAsia" w:hAnsiTheme="majorHAnsi" w:cstheme="majorBidi"/>
      <w:b/>
      <w:bCs/>
      <w:color w:val="629DD1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90A5D"/>
    <w:rPr>
      <w:rFonts w:asciiTheme="majorHAnsi" w:eastAsiaTheme="majorEastAsia" w:hAnsiTheme="majorHAnsi" w:cstheme="majorBidi"/>
      <w:b/>
      <w:bCs/>
      <w:color w:val="629DD1" w:themeColor="accent1"/>
    </w:rPr>
  </w:style>
  <w:style w:type="paragraph" w:styleId="Subttulo">
    <w:name w:val="Subtitle"/>
    <w:basedOn w:val="Normal"/>
    <w:next w:val="Normal"/>
    <w:link w:val="SubttuloCar"/>
    <w:uiPriority w:val="11"/>
    <w:qFormat/>
    <w:rsid w:val="00990A5D"/>
    <w:pPr>
      <w:numPr>
        <w:ilvl w:val="1"/>
      </w:numPr>
    </w:pPr>
    <w:rPr>
      <w:rFonts w:asciiTheme="majorHAnsi" w:eastAsiaTheme="majorEastAsia" w:hAnsiTheme="majorHAnsi" w:cstheme="majorBidi"/>
      <w:i/>
      <w:iCs/>
      <w:color w:val="629DD1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90A5D"/>
    <w:rPr>
      <w:rFonts w:asciiTheme="majorHAnsi" w:eastAsiaTheme="majorEastAsia" w:hAnsiTheme="majorHAnsi" w:cstheme="majorBidi"/>
      <w:i/>
      <w:iCs/>
      <w:color w:val="629DD1" w:themeColor="accent1"/>
      <w:spacing w:val="15"/>
      <w:sz w:val="24"/>
      <w:szCs w:val="24"/>
    </w:rPr>
  </w:style>
  <w:style w:type="paragraph" w:customStyle="1" w:styleId="InstrumentoOpcion">
    <w:name w:val="InstrumentoOpcion"/>
    <w:basedOn w:val="Normal"/>
    <w:pPr>
      <w:spacing w:after="20"/>
      <w:ind w:left="312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Elemental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specto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río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2373C0-641D-4A38-A490-44ADDD542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516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CEC-EPN</Company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Castillo</dc:creator>
  <cp:keywords/>
  <dc:description/>
  <cp:lastModifiedBy>JONATHAN ANDRES ROSERO SOTO</cp:lastModifiedBy>
  <cp:revision>3</cp:revision>
  <dcterms:created xsi:type="dcterms:W3CDTF">2024-05-20T18:13:00Z</dcterms:created>
  <dcterms:modified xsi:type="dcterms:W3CDTF">2026-10-13T16:01:00Z</dcterms:modified>
</cp:coreProperties>
</file>