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Full unrestrained model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(T1), 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 [3.25; 4.37]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[1.26; 2.75]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 [3.37; 4.55]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 [1.49; 2.82]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[-1.53; 2.63]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.576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[-0.06;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[-0.14;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[-0.75; 2.34]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.252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 [1.14; 4.4]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[-0.26; 0.75]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.251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[-0.07; 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[-1.09; 0.81]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.647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[2.68; 5.94]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[0.37; 0.72]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[-0.71;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 [2.76; 6.46]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[-0.29; 0.48]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.546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[-0.14; 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[0.5; 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[0.65; 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(T2)&lt;--&gt;Mentalization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[1.07; 2.96]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(T2)&lt;--&gt;Mentalization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[0.73;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(T1)&lt;--&gt;Mentalization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[0.63; 1.55]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(T1)&lt;--&gt;Mentalization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[0.57; 1.41]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(T2)&lt;--&gt;Parental sensitivity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[0.54;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(T2)&lt;--&gt;Parental sensitivity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[0.89; 1.59]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(T1)&lt;--&gt;Secure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[0.14; 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(T1)&lt;--&gt;Secure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[0.09; 0.23]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(T2)&lt;--&gt;Mentalization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[-0.01; 1.04]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(T1)&lt;--&gt;Mentalization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[0.15; 0.79]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(T1)&lt;--&gt;Secure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[0.03; 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(T2)&lt;--&gt;Parental sensitivity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[-0.04; 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.128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h1a_father&lt;--seVV*rfMV*rf1BinV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[-0.11; 0.86]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h1a_mother&lt;--seMM*rfVM*rf1BinM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[-0.12; 0.44]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.665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h1b_father&lt;--seVV*rfMV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[-0.05; 0.37]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h1b_mother&lt;--seMM*rfVM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[-0.05; 0.22]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.672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h3_father&lt;--rfMV*seVV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[-0.05; 0.37]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h3_mother&lt;--rfVM*seMM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[-0.05; 0.22]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Chi-Sq=12.907 (p=0.376); CFI=0.993; TLI=0.984; RMSEA=0.043 95% CI [0-0.17]; N=40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 is the path coefficient with all variables standardized.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[95% CI] is the unstandardized path coefficient with a 95% bias-corrected and accelerated confidence interval.</w:t>
            </w:r>
          </w:p>
        </w:tc>
      </w:tr>
      <w:tr>
        <w:trPr>
          <w:trHeight w:val="360" w:hRule="auto"/>
        </w:trPr>
        footer 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is the bootstrapped standard error of the estimate.</w:t>
            </w:r>
          </w:p>
        </w:tc>
      </w:tr>
      <w:tr>
        <w:trPr>
          <w:trHeight w:val="360" w:hRule="auto"/>
        </w:trPr>
        footer 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.05; ** p &lt; .01</w:t>
            </w:r>
          </w:p>
        </w:tc>
      </w:tr>
      <w:tr>
        <w:trPr>
          <w:trHeight w:val="360" w:hRule="auto"/>
        </w:trPr>
        footer 6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calculations are based on 10,000 bootstrap replicates.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2023-11-13T18:51:04Z</dcterms:modified>
  <cp:category/>
</cp:coreProperties>
</file>