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Between-study heterogeneity and variance explained by model</w:t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5000"/>
        <w:tblLook w:firstRow="1" w:lastRow="0" w:firstColumn="0" w:lastColumn="0" w:noHBand="0" w:noVBand="1"/>
      </w:tblPr>
      <w:tr>
        <w:trPr>
          <w:trHeight w:val="360" w:hRule="auto"/>
          <w:tblHeader/>
        </w:trPr>
        <w:tc>
          <w:tcPr>
            <w:tcBorders>
              <w:bottom w:val="single" w:sz="5" w:space="0" w:color="000000"/>
              <w:top w:val="single" w:sz="1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Model</w:t>
            </w:r>
          </w:p>
        </w:tc>
        <w:tc>
          <w:tcPr>
            <w:tcBorders>
              <w:bottom w:val="single" w:sz="5" w:space="0" w:color="000000"/>
              <w:top w:val="single" w:sz="1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τ [95% CrI]</w:t>
            </w:r>
          </w:p>
        </w:tc>
        <w:tc>
          <w:tcPr>
            <w:tcBorders>
              <w:bottom w:val="single" w:sz="5" w:space="0" w:color="000000"/>
              <w:top w:val="single" w:sz="1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τ² [95% CrI]</w:t>
            </w:r>
          </w:p>
        </w:tc>
        <w:tc>
          <w:tcPr>
            <w:tcBorders>
              <w:bottom w:val="single" w:sz="5" w:space="0" w:color="000000"/>
              <w:top w:val="single" w:sz="1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R²_meta [95% CrI]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single" w:sz="5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Null</w:t>
            </w:r>
          </w:p>
        </w:tc>
        <w:tc>
          <w:tcPr>
            <w:tcBorders>
              <w:bottom w:val="none" w:sz="0" w:space="0" w:color="000000"/>
              <w:top w:val="single" w:sz="5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1.18 [0.88, 1.64]</w:t>
            </w:r>
          </w:p>
        </w:tc>
        <w:tc>
          <w:tcPr>
            <w:tcBorders>
              <w:bottom w:val="none" w:sz="0" w:space="0" w:color="000000"/>
              <w:top w:val="single" w:sz="5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1.38 [0.78, 2.68]</w:t>
            </w:r>
          </w:p>
        </w:tc>
        <w:tc>
          <w:tcPr>
            <w:tcBorders>
              <w:bottom w:val="none" w:sz="0" w:space="0" w:color="000000"/>
              <w:top w:val="single" w:sz="5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 [0.00, 0.00]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Activity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1.10 [0.80, 1.56]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1.20 [0.65, 2.43]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0.13 [-1.15, 0.65]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Duration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1.19 [0.88, 1.66]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1.42 [0.78, 2.75]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-0.02 [-1.46, 0.58]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Modality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1.16 [0.87, 1.62]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1.34 [0.76, 2.61]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 [-1.34, 0.60]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Algorithm family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1.19 [0.89, 1.65]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1.41 [0.78, 2.74]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-0.02 [-1.44, 0.58]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Multimodality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1.17 [0.87, 1.62]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1.36 [0.76, 2.64]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 [-1.35, 0.59]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Intruders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1.17 [0.88, 1.63]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1.37 [0.77, 2.66]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 [-1.37, 0.59]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Feature type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1.15 [0.86, 1.61]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1.33 [0.74, 2.60]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 [-1.32, 0.60]</w:t>
            </w:r>
          </w:p>
        </w:tc>
      </w:tr>
      <w:tr>
        <w:trPr>
          <w:trHeight w:val="360" w:hRule="auto"/>
        </w:trPr>
        <w:tc>
          <w:tcPr>
            <w:tcBorders>
              <w:bottom w:val="single" w:sz="1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Full</w:t>
            </w:r>
          </w:p>
        </w:tc>
        <w:tc>
          <w:tcPr>
            <w:tcBorders>
              <w:bottom w:val="single" w:sz="1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1.14 [0.84, 1.61]</w:t>
            </w:r>
          </w:p>
        </w:tc>
        <w:tc>
          <w:tcPr>
            <w:tcBorders>
              <w:bottom w:val="single" w:sz="1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1.31 [0.70, 2.61]</w:t>
            </w:r>
          </w:p>
        </w:tc>
        <w:tc>
          <w:tcPr>
            <w:tcBorders>
              <w:bottom w:val="single" w:sz="1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0.06 [-1.32, 0.62]</w:t>
            </w:r>
          </w:p>
        </w:tc>
      </w:tr>
      <w:tr>
        <w:trPr>
          <w:trHeight w:val="360" w:hRule="auto"/>
        </w:trPr>
        <w:tc>
          <w:tcPr>
            <w:gridSpan w:val="4"/>
            <w:tcBorders>
              <w:bottom w:val="none" w:sz="0" w:space="0" w:color="FFFFFF"/>
              <w:top w:val="single" w:sz="10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Note. 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τ = between-study SD (logit scale); τ² = between-study variance; R²_meta = proportion of between-study heterogeneity explained relative to the null model. Brackets give 95% credible intervals.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2026-07-27T18:09:33Z</dcterms:modified>
  <cp:category/>
</cp:coreProperties>
</file>