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Model-predicted authentication accuracy by moderator level</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Construct</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Level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Univariate model % [95% CrI]</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Multivariate model % [95% CrI]</w:t>
            </w:r>
          </w:p>
        </w:tc>
      </w:tr>
      <w:tr>
        <w:trPr>
          <w:trHeight w:val="360" w:hRule="auto"/>
        </w:trPr>
        <w:tc>
          <w:tcPr>
            <w:vMerge w:val="restart"/>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[75.8, 90.2]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[74.3,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89.9 [82.5, 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89.8 [81.6, 94.4]</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87.3 [80.0,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86.8 [78.1, 92.5]</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[81.0,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[74.3,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[81.0,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84.6 [74.8, 91.1]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Temporal 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88.5 [81.0, 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85.5 [74.7, 92.7]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Tree-based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[81.2, 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84.9 [75.2, 91.3]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Kernel-based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86.7 [77.7, 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82.3 [70.2, 90.2]</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Study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[80.9,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[74.3,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(multiple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87.9 [75.4, 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84.7 [68.7, 92.9]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(&gt; one 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85.7 [71.6,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82.0 [65.1, 90.6]</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[81.3,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84.3 [74.3, 90.9]</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91.6 [86.5, 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87.7 [79.3, 93.1]</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 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88.1 [81.5,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86.9 [78.3,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88.0 [81.2, 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89.5 [80.6, 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85.1 [73.5,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one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87.0 [79.3,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84.0 [73.3, 91.1]</w:t>
            </w:r>
          </w:p>
        </w:tc>
      </w:tr>
      <w:tr>
        <w:trPr>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multiple 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[80.0, 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85.2 [73.8, 92.1]</w:t>
            </w:r>
          </w:p>
        </w:tc>
      </w:tr>
      <w:tr>
        <w:trPr>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everyday activities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86.6 [77.0, 92.7]</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84.2 [71.7, 91.9]</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predicted authentication accuracy for a new study; brackets give the 95% credible interval. Univariate estimates come from a separate single-predictor model for each construct, so the remaining moderators are not conditioned on. Multivariate estimates come from the single model containing sensing modality, algorithm family, multimodality, study duration and activity condition, with the other moderators held at their reference levels; this is why they sit roughly three to four percentage points below the univariate estimates and why the reference level of each construct takes the same value, that being the same all-references cell of the model. Intruder validation and feature type were pre-specified as single-predictor and sensitivity terms and are not in the multivariate model, so no adjusted estimate exists for them (—). Predictions are population-level (marginal with respect to the study random effect).</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2026-08-12T13:09:32Z</dcterms:modified>
  <cp:category/>
</cp:coreProperties>
</file>