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Sampler convergence diagnostics by model</w:t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5000"/>
        <w:tblLook w:firstRow="1" w:lastRow="0" w:firstColumn="0" w:lastColumn="0" w:noHBand="0" w:noVBand="1"/>
      </w:tblPr>
      <w:tr>
        <w:trPr>
          <w:trHeight w:val="360" w:hRule="auto"/>
          <w:tblHeader/>
        </w:trPr>
        <w:tc>
          <w:tcPr>
            <w:tcBorders>
              <w:bottom w:val="single" w:sz="5" w:space="0" w:color="000000"/>
              <w:top w:val="single" w:sz="1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Model</w:t>
            </w:r>
          </w:p>
        </w:tc>
        <w:tc>
          <w:tcPr>
            <w:tcBorders>
              <w:bottom w:val="single" w:sz="5" w:space="0" w:color="000000"/>
              <w:top w:val="single" w:sz="1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Max R-hat</w:t>
            </w:r>
          </w:p>
        </w:tc>
        <w:tc>
          <w:tcPr>
            <w:tcBorders>
              <w:bottom w:val="single" w:sz="5" w:space="0" w:color="000000"/>
              <w:top w:val="single" w:sz="1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Min bulk ESS</w:t>
            </w:r>
          </w:p>
        </w:tc>
        <w:tc>
          <w:tcPr>
            <w:tcBorders>
              <w:bottom w:val="single" w:sz="5" w:space="0" w:color="000000"/>
              <w:top w:val="single" w:sz="1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Divergences</w:t>
            </w:r>
          </w:p>
        </w:tc>
        <w:tc>
          <w:tcPr>
            <w:tcBorders>
              <w:bottom w:val="single" w:sz="5" w:space="0" w:color="000000"/>
              <w:top w:val="single" w:sz="1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Converged (of m)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single" w:sz="5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Null</w:t>
            </w:r>
          </w:p>
        </w:tc>
        <w:tc>
          <w:tcPr>
            <w:tcBorders>
              <w:bottom w:val="none" w:sz="0" w:space="0" w:color="000000"/>
              <w:top w:val="single" w:sz="5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1.009</w:t>
            </w:r>
          </w:p>
        </w:tc>
        <w:tc>
          <w:tcPr>
            <w:tcBorders>
              <w:bottom w:val="none" w:sz="0" w:space="0" w:color="000000"/>
              <w:top w:val="single" w:sz="5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643</w:t>
            </w:r>
          </w:p>
        </w:tc>
        <w:tc>
          <w:tcPr>
            <w:tcBorders>
              <w:bottom w:val="none" w:sz="0" w:space="0" w:color="000000"/>
              <w:top w:val="single" w:sz="5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single" w:sz="5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15/20</w:t>
            </w:r>
          </w:p>
        </w:tc>
      </w:tr>
      <w:tr>
        <w:trPr>
          <w:trHeight w:val="360" w:hRule="auto"/>
        </w:trPr>
        <w:tc>
          <w:tcPr>
            <w:tcBorders>
              <w:bottom w:val="single" w:sz="1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Feature type</w:t>
            </w:r>
          </w:p>
        </w:tc>
        <w:tc>
          <w:tcPr>
            <w:tcBorders>
              <w:bottom w:val="single" w:sz="1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1.008</w:t>
            </w:r>
          </w:p>
        </w:tc>
        <w:tc>
          <w:tcPr>
            <w:tcBorders>
              <w:bottom w:val="single" w:sz="1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823</w:t>
            </w:r>
          </w:p>
        </w:tc>
        <w:tc>
          <w:tcPr>
            <w:tcBorders>
              <w:bottom w:val="single" w:sz="1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single" w:sz="1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18/20</w:t>
            </w:r>
          </w:p>
        </w:tc>
      </w:tr>
      <w:tr>
        <w:trPr>
          <w:trHeight w:val="360" w:hRule="auto"/>
        </w:trPr>
        <w:tc>
          <w:tcPr>
            <w:gridSpan w:val="5"/>
            <w:tcBorders>
              <w:bottom w:val="none" w:sz="0" w:space="0" w:color="FFFFFF"/>
              <w:top w:val="single" w:sz="10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Note. 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Worst value across imputations. R-hat = potential scale-reduction factor; ESS = minimum bulk effective sample size; Divergences = total post-warmup divergent transitions; Converged = imputations meeting all thresholds (R-hat ≤ 1.01, bulk/tail ESS ≥ 100 per chain, 0 divergences, 0 max-treedepth hits, E-BFMI ≥ 0.30).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2026-07-28T21:03:12Z</dcterms:modified>
  <cp:category/>
</cp:coreProperties>
</file>