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Between-study heterogeneity and variance explained by model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 [95% CrI]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τ² [95% CrI]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R²_meta [95% CrI]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 [0.88, 1.81]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 [0.77, 3.27]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 [0.00, 0.00]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 [0.89, 1.83]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 [0.80, 3.35]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[-1.68, 0.61]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 [0.96, 1.93]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 [0.92, 3.73]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 [-2.12, 0.56]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 [0.88, 1.86]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1.55 [0.78, 3.44]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 [-1.68, 0.61]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 [0.88, 1.81]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 [0.78, 3.28]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[-1.63, 0.61]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 [0.87, 1.79]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 [0.75, 3.19]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[-1.71, 0.65]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 [0.87, 1.80]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 [0.76, 3.25]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 [-1.76, 0.64]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 [0.88, 1.82]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 [0.78, 3.32]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 [-1.64, 0.61]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 [0.96, 1.99]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 [0.93, 3.95]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 [-2.37, 0.56]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τ = between-study SD (logit scale); τ² = between-study variance; R²_meta = proportion of between-study heterogeneity explained relative to the null model. Brackets give 95% credible intervals.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2026-07-27T19:54:42Z</dcterms:modified>
  <cp:category/>
</cp:coreProperties>
</file>