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Cross-validation difference against the null model by specification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Gaussian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 (4)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σ ~ 1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σ ~ RE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σ ~ X + RE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 unk.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 (19)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-860 (547)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 (9)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 (7)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-69 (24)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 (32)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(26)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 (19)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 (19)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-902 (407)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-50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-62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 (21)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-65 (22)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 (16)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 (76)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-848 (451)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-84 (68)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-58 (106)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-70 (88)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-103 (102)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 (86)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-62 (77)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-76 (53)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-122 (47)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(24)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 (30)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-721 (639)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 (42)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 (8)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 (31)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-47 (30)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-48 (31)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-52 (38)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-87 (60)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(22)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-182 (72)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(36)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 (95)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-3627 (1852)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-237 (105)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-124 (115)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-212 (133)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-167 (106)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-169 (106)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-172 (97)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-149 (68)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Difference in expected log predictive density relative to the intercept-only model, with its standard error in parentheses; positive favours the moderator. The null model is the baseline and so has no row. n/a marks a model a variant did not refit. In no specification does any moderator exceed twice its standard error, i.e. no moderator predicts held-out experiments better than the null model under any modelling choice. Specifications: Main = primary analysis; Gaussian = Gaussian likelihood; t (4) = Student t with nu fixed at 4; σ ~ 1 = intercept-only residual scale; σ ~ RE = residual scale with a study random effect; σ ~ X + RE = residual scale with design covariates and a study random effect; Feature = collapsed feature-type categories; Duration = collapsed duration categories; SE unk. = reported standard errors of unknown origin also included; Complete = complete-case analysis without imputation.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2026-08-12T14:26:55Z</dcterms:modified>
  <cp:category/>
</cp:coreProperties>
</file>