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Proportion of between-study heterogeneity explained by specification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Main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Gaussian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 (4)</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σ ~ 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σ ~ RE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σ ~ X + RE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Duration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SE unk.</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Complete</w:t>
            </w:r>
          </w:p>
        </w:tc>
      </w:tr>
      <w:tr>
        <w:trPr>
          <w:trHeight w:val="36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Full</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w:t>
            </w:r>
          </w:p>
        </w:tc>
      </w:tr>
      <w:tr>
        <w:trPr>
          <w:trHeight w:val="360" w:hRule="auto"/>
        </w:trPr>
        <w:tc>
          <w:tcPr>
            <w:gridSpan w:val="11"/>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of R-squared_meta, the share of between-study heterogeneity explained relative to the null model, which is the baseline and so has no row. Intervals are wide and frequently span zero in both directions (see the supplementary data); the point estimates are reported here to show that no specification lets any moderator account for an appreciable share. Negative values mean the moderator model left slightly more heterogeneity than the null. n/a marks a model a variant did not refit. Specifications: Main = primary analysis; Gaussian = Gaussian likelihood; t (4) = Student t with nu fixed at 4; σ ~ 1 = intercept-only residual scale; σ ~ RE = residual scale with a study random effect; σ ~ X + RE = residual scale with design covariates and a study random effect; Feature = collapsed feature-type categories; Duration = collapsed duration categories; SE unk. = reported standard errors of unknown origin also included; Complete = complete-case analysis without imputation.</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2026-08-12T14:26:56Z</dcterms:modified>
  <cp:category/>
</cp:coreProperties>
</file>