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Between-study standard deviation (tau) by model and specification</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Model</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Main</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Gaussian</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 (4)</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σ ~ 1</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σ ~ RE</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σ ~ X + RE</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Feature</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Duration</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SE unk.</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Complete</w:t>
            </w:r>
          </w:p>
        </w:tc>
      </w:tr>
      <w:tr>
        <w:trPr>
          <w:trHeight w:val="36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Null</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1.18</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1.23</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1.14</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1.02</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0.96</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1.03</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1.18</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1.17</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1.18</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Duration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Algorithm family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Multimodality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Feature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1.13</w:t>
            </w:r>
          </w:p>
        </w:tc>
      </w:tr>
      <w:tr>
        <w:trPr>
          <w:trHeight w:val="360" w:hRule="auto"/>
        </w:trPr>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Full</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1.14</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1.36</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1.13</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1.04</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1.01</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1.02</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n/a</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1.13</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1.14</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1.13</w:t>
            </w:r>
          </w:p>
        </w:tc>
      </w:tr>
      <w:tr>
        <w:trPr>
          <w:trHeight w:val="360" w:hRule="auto"/>
        </w:trPr>
        <w:tc>
          <w:tcPr>
            <w:gridSpan w:val="11"/>
            <w:tcBorders>
              <w:bottom w:val="none" w:sz="0" w:space="0" w:color="FFFFFF"/>
              <w:top w:val="single" w:sz="1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Posterior median of the between-study SD on the logit scale. Columns are the pre-registered sensitivity specifications; 'Main' is the primary analysis. n/a marks a model a variant did not refit. Credible intervals are given per variant in the supplementary data. tau remains far from zero under every specification, so the heterogeneity conclusion does not depend on any one modelling choice. Specifications: Main = primary analysis; Gaussian = Gaussian likelihood; t (4) = Student t with nu fixed at 4; σ ~ 1 = intercept-only residual scale; σ ~ RE = residual scale with a study random effect; σ ~ X + RE = residual scale with design covariates and a study random effect; Feature = collapsed feature-type categories; Duration = collapsed duration categories; SE unk. = reported standard errors of unknown origin also included; Complete = complete-case analysis without imputation.</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2026-08-12T14:26:53Z</dcterms:modified>
  <cp:category/>
</cp:coreProperties>
</file>