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Between-study heterogeneity and variance explained by model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τ [95% CrI]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τ² [95% CrI]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R²_meta [95% CrI]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 [0.68, 1.38]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 [0.46, 1.90]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[0.00, 0.00]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 [0.69, 1.37]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 [0.47, 1.88]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[-1.67, 0.63]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[0.70, 1.46]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[0.49, 2.12]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 [-2.02, 0.60]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 [0.69, 1.40]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 [0.48, 1.95]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 [-1.79, 0.62]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 [0.67, 1.38]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 [0.44, 1.92]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[-1.71, 0.64]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 [0.70, 1.41]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 [0.49, 2.00]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 [-1.85, 0.61]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 [0.67, 1.37]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 [0.45, 1.88]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[-1.68, 0.64]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 [0.65, 1.36]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 [0.42, 1.84]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[-1.61, 0.66]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 [0.71, 1.47]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 [0.51, 2.17]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 [-2.09, 0.60]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τ = between-study SD (logit scale); τ² = between-study variance; R²_meta = proportion of between-study heterogeneity explained relative to the null model. Brackets give 95% credible intervals.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2026-07-28T04:25:54Z</dcterms:modified>
  <cp:category/>
</cp:coreProperties>
</file>