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Leave-one-out cross-validation model comparison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ELPD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ΔELPD vs null (SE)</w:t>
            </w:r>
          </w:p>
        </w:tc>
        <w:tc>
          <w:tcPr>
            <w:tcBorders>
              <w:bottom w:val="single" w:sz="5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 Pareto-k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Null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-1579.6 (32.9)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 (reference)</w:t>
            </w:r>
          </w:p>
        </w:tc>
        <w:tc>
          <w:tcPr>
            <w:tcBorders>
              <w:bottom w:val="none" w:sz="0" w:space="0" w:color="000000"/>
              <w:top w:val="single" w:sz="5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-1649.1 (32.8)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-69.5 (24.0)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-1642.3 (32.3)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-62.7 (21.5)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-1649.8 (33.1)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-70.2 (88.4)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Algorithm family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-1573.2 (32.3)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 (15.8)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Multimodality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-1616.7 (33.4)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-37.1 (12.1)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Intruders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-1559.3 (32.6)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20.3 (23.7)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Feature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-1547.3 (32.2)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 (36.4)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360" w:hRule="auto"/>
        </w:trPr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-1791.3 (32.1)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-211.7 (132.5)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8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ELPD = expected log pointwise predictive density (approximate LOO); higher is better. ΔELPD is relative to the null model with cluster-robust SE (positive favours the row model). Max Pareto-k &lt; 0.7 indicates reliable LOO. Pooled across imputations.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2026-07-28T04:25:54Z</dcterms:modified>
  <cp:category/>
</cp:coreProperties>
</file>