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number of individuals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situational 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permanence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users, 38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(&gt; one week)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</w:tr>
      <w:tr>
        <w:trPr>
          <w:trHeight w:val="61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(&gt; one week)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(&gt; one week)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2026-07-10T16:14:59Z</dcterms:modified>
  <cp:category/>
</cp:coreProperties>
</file>