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dimension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Dimensionality reduction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IDs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Experiments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 | 475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 | 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 | 330 | 43 | 445 | 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| 253 | 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| 28 | 374 | 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 | 305 | 486 | 55 | 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 | 486 | 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| 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</w:tr>
      <w:tr>
        <w:trPr>
          <w:trHeight w:val="614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type: deep = learned representations from neural/deep-learning models; handcrafted = investigator-defined signal, morphology, statistical, spectral, or fiducial features; hybrid = combined handcrafted and learned/transform-based representations. Feature dimension: low = fewer than 20 features; medium = 20-100 features; high = more than 100 features; not coded = insufficient information to classify.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2026-07-10T16:14:27Z</dcterms:modified>
  <cp:category/>
</cp:coreProperties>
</file>